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16.xml" ContentType="application/vnd.openxmlformats-officedocument.wordprocessingml.header+xml"/>
  <Override PartName="/word/header18.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header19.xml" ContentType="application/vnd.openxmlformats-officedocument.wordprocessingml.header+xml"/>
  <Override PartName="/word/footnotes.xml" ContentType="application/vnd.openxmlformats-officedocument.wordprocessingml.footnotes+xml"/>
  <Override PartName="/word/header15.xml" ContentType="application/vnd.openxmlformats-officedocument.wordprocessingml.header+xml"/>
  <Override PartName="/word/styles.xml" ContentType="application/vnd.openxmlformats-officedocument.wordprocessingml.styles+xml"/>
  <Override PartName="/word/header17.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2"/>
        <w:spacing w:line="265" w:lineRule="auto"/>
      </w:pPr>
      <w:r/>
      <w:r/>
    </w:p>
    <w:p>
      <w:pPr>
        <w:pStyle w:val="1182"/>
        <w:spacing w:line="265" w:lineRule="auto"/>
      </w:pPr>
      <w:r/>
      <w:r/>
    </w:p>
    <w:p>
      <w:pPr>
        <w:pStyle w:val="1182"/>
        <w:spacing w:line="266" w:lineRule="auto"/>
      </w:pPr>
      <w:r/>
      <w:r/>
    </w:p>
    <w:p>
      <w:pPr>
        <w:pStyle w:val="1182"/>
        <w:spacing w:line="266" w:lineRule="auto"/>
      </w:pPr>
      <w:r/>
      <w:r/>
    </w:p>
    <w:p>
      <w:pPr>
        <w:pStyle w:val="1182"/>
        <w:spacing w:line="266" w:lineRule="auto"/>
      </w:pPr>
      <w:r/>
      <w:r/>
    </w:p>
    <w:p>
      <w:pPr>
        <w:pStyle w:val="1182"/>
        <w:spacing w:line="266" w:lineRule="auto"/>
      </w:pPr>
      <w:r/>
      <w:r/>
    </w:p>
    <w:p>
      <w:pPr>
        <w:pStyle w:val="1182"/>
        <w:spacing w:line="266" w:lineRule="auto"/>
      </w:pPr>
      <w:r/>
      <w:r/>
    </w:p>
    <w:p>
      <w:pPr>
        <w:pStyle w:val="1011"/>
        <w:ind w:left="3310" w:right="915" w:hanging="2438"/>
        <w:spacing w:before="234" w:line="281" w:lineRule="auto"/>
        <w:rPr>
          <w:rFonts w:ascii="宋体" w:hAnsi="宋体" w:cs="宋体"/>
          <w:sz w:val="72"/>
          <w:szCs w:val="72"/>
        </w:rPr>
      </w:pPr>
      <w:r/>
      <w:bookmarkStart w:id="0" w:name="OLE_LINK19"/>
      <w:r>
        <w:rPr>
          <w:rFonts w:ascii="宋体" w:hAnsi="宋体" w:cs="宋体"/>
          <w:b/>
          <w:bCs/>
          <w:spacing w:val="63"/>
          <w:sz w:val="72"/>
          <w:szCs w:val="72"/>
        </w:rPr>
        <w:t xml:space="preserve">苏州市吴江区政府采购</w:t>
      </w:r>
      <w:r>
        <w:rPr>
          <w:rFonts w:ascii="宋体" w:hAnsi="宋体" w:cs="宋体"/>
          <w:b/>
          <w:bCs/>
          <w:spacing w:val="36"/>
          <w:sz w:val="72"/>
          <w:szCs w:val="72"/>
        </w:rPr>
        <w:t xml:space="preserve">招标文件</w:t>
      </w:r>
      <w:bookmarkEnd w:id="0"/>
      <w:r>
        <w:rPr>
          <w:rFonts w:ascii="宋体" w:hAnsi="宋体" w:cs="宋体"/>
          <w:sz w:val="72"/>
          <w:szCs w:val="72"/>
        </w:rPr>
      </w:r>
      <w:r/>
    </w:p>
    <w:p>
      <w:pPr>
        <w:pStyle w:val="1182"/>
        <w:spacing w:line="256" w:lineRule="auto"/>
      </w:pPr>
      <w:r/>
      <w:r/>
    </w:p>
    <w:p>
      <w:pPr>
        <w:pStyle w:val="1182"/>
        <w:spacing w:line="256" w:lineRule="auto"/>
      </w:pPr>
      <w:r/>
      <w:r/>
    </w:p>
    <w:p>
      <w:pPr>
        <w:pStyle w:val="1182"/>
        <w:spacing w:line="256" w:lineRule="auto"/>
      </w:pPr>
      <w:r/>
      <w:r/>
    </w:p>
    <w:p>
      <w:pPr>
        <w:pStyle w:val="1182"/>
        <w:spacing w:line="256" w:lineRule="auto"/>
      </w:pPr>
      <w:r/>
      <w:r/>
    </w:p>
    <w:p>
      <w:pPr>
        <w:pStyle w:val="1182"/>
        <w:spacing w:line="257" w:lineRule="auto"/>
      </w:pPr>
      <w:r/>
      <w:r/>
    </w:p>
    <w:p>
      <w:pPr>
        <w:pStyle w:val="1182"/>
        <w:spacing w:line="257" w:lineRule="auto"/>
      </w:pPr>
      <w:r/>
      <w:r/>
    </w:p>
    <w:p>
      <w:pPr>
        <w:pStyle w:val="1011"/>
        <w:ind w:left="987"/>
        <w:spacing w:before="101" w:line="225" w:lineRule="auto"/>
        <w:rPr>
          <w:rFonts w:ascii="Times New Roman" w:hAnsi="Times New Roman" w:eastAsia="Times New Roman" w:cs="Times New Roman"/>
          <w:sz w:val="31"/>
          <w:szCs w:val="31"/>
        </w:rPr>
      </w:pPr>
      <w:r>
        <w:rPr>
          <w:rFonts w:ascii="宋体" w:hAnsi="宋体" w:cs="宋体"/>
          <w:b/>
          <w:bCs/>
          <w:spacing w:val="8"/>
          <w:sz w:val="31"/>
          <w:szCs w:val="31"/>
        </w:rPr>
        <w:t xml:space="preserve">采购编号：</w:t>
      </w:r>
      <w:bookmarkStart w:id="1" w:name="OLE_LINK29"/>
      <w:r>
        <w:rPr>
          <w:rFonts w:ascii="宋体" w:hAnsi="宋体" w:cs="宋体"/>
          <w:b/>
          <w:bCs/>
          <w:spacing w:val="7"/>
          <w:sz w:val="31"/>
          <w:szCs w:val="31"/>
        </w:rPr>
        <w:t xml:space="preserve">JSZC-320509-SZCF-G2025-000</w:t>
      </w:r>
      <w:bookmarkEnd w:id="1"/>
      <w:r>
        <w:rPr>
          <w:rFonts w:hint="eastAsia" w:ascii="宋体" w:hAnsi="宋体" w:cs="宋体"/>
          <w:b/>
          <w:bCs/>
          <w:spacing w:val="7"/>
          <w:sz w:val="31"/>
          <w:szCs w:val="31"/>
        </w:rPr>
        <w:t xml:space="preserve">5</w:t>
      </w:r>
      <w:r>
        <w:rPr>
          <w:rFonts w:ascii="Times New Roman" w:hAnsi="Times New Roman" w:eastAsia="Times New Roman" w:cs="Times New Roman"/>
          <w:sz w:val="31"/>
          <w:szCs w:val="31"/>
        </w:rPr>
      </w:r>
      <w:r/>
    </w:p>
    <w:p>
      <w:pPr>
        <w:pStyle w:val="1011"/>
        <w:ind w:left="987"/>
        <w:spacing w:before="246" w:line="225" w:lineRule="auto"/>
        <w:rPr>
          <w:rFonts w:ascii="宋体" w:hAnsi="宋体" w:cs="宋体"/>
          <w:sz w:val="31"/>
          <w:szCs w:val="31"/>
        </w:rPr>
      </w:pPr>
      <w:r>
        <w:rPr>
          <w:rFonts w:ascii="宋体" w:hAnsi="宋体" w:cs="宋体"/>
          <w:b/>
          <w:bCs/>
          <w:spacing w:val="7"/>
          <w:sz w:val="31"/>
          <w:szCs w:val="31"/>
        </w:rPr>
        <w:t xml:space="preserve">采购单位：</w:t>
      </w:r>
      <w:bookmarkStart w:id="2" w:name="OLE_LINK21"/>
      <w:r>
        <w:rPr>
          <w:rFonts w:ascii="宋体" w:hAnsi="宋体" w:cs="宋体"/>
          <w:b/>
          <w:bCs/>
          <w:spacing w:val="7"/>
          <w:sz w:val="31"/>
          <w:szCs w:val="31"/>
        </w:rPr>
        <w:t xml:space="preserve">苏州市吴江区人民政府横扇街道办事处</w:t>
      </w:r>
      <w:bookmarkEnd w:id="2"/>
      <w:r>
        <w:rPr>
          <w:rFonts w:ascii="宋体" w:hAnsi="宋体" w:cs="宋体"/>
          <w:sz w:val="31"/>
          <w:szCs w:val="31"/>
        </w:rPr>
      </w:r>
      <w:r/>
    </w:p>
    <w:p>
      <w:pPr>
        <w:pStyle w:val="1011"/>
        <w:ind w:right="28"/>
        <w:jc w:val="right"/>
        <w:spacing w:before="246" w:line="225" w:lineRule="auto"/>
        <w:rPr>
          <w:rFonts w:ascii="宋体" w:hAnsi="宋体" w:cs="宋体"/>
          <w:sz w:val="31"/>
          <w:szCs w:val="31"/>
        </w:rPr>
      </w:pPr>
      <w:r>
        <w:rPr>
          <w:rFonts w:ascii="宋体" w:hAnsi="宋体" w:cs="宋体"/>
          <w:b/>
          <w:bCs/>
          <w:spacing w:val="5"/>
          <w:sz w:val="31"/>
          <w:szCs w:val="31"/>
        </w:rPr>
        <w:t xml:space="preserve">采购内容：</w:t>
      </w:r>
      <w:bookmarkStart w:id="3" w:name="OLE_LINK16"/>
      <w:r/>
      <w:bookmarkStart w:id="4" w:name="OLE_LINK17"/>
      <w:r/>
      <w:bookmarkStart w:id="5" w:name="OLE_LINK28"/>
      <w:r>
        <w:rPr>
          <w:rFonts w:ascii="Times New Roman" w:hAnsi="Times New Roman" w:eastAsia="Times New Roman" w:cs="Times New Roman"/>
          <w:b/>
          <w:bCs/>
          <w:spacing w:val="5"/>
          <w:sz w:val="31"/>
          <w:szCs w:val="31"/>
        </w:rPr>
        <w:t xml:space="preserve">2025</w:t>
      </w:r>
      <w:r>
        <w:rPr>
          <w:rFonts w:hint="eastAsia" w:ascii="宋体" w:hAnsi="宋体" w:cs="宋体"/>
          <w:b/>
          <w:bCs/>
          <w:spacing w:val="5"/>
          <w:sz w:val="31"/>
          <w:szCs w:val="31"/>
        </w:rPr>
        <w:t xml:space="preserve">年横扇街道生活垃圾填埋场渗滤液委托处置服务</w:t>
      </w:r>
      <w:bookmarkEnd w:id="3"/>
      <w:r/>
      <w:bookmarkEnd w:id="4"/>
      <w:r/>
      <w:bookmarkEnd w:id="5"/>
      <w:r>
        <w:rPr>
          <w:rFonts w:ascii="宋体" w:hAnsi="宋体" w:cs="宋体"/>
          <w:sz w:val="31"/>
          <w:szCs w:val="31"/>
        </w:rPr>
      </w:r>
      <w:r/>
    </w:p>
    <w:p>
      <w:pPr>
        <w:pStyle w:val="1011"/>
        <w:ind w:left="987"/>
        <w:spacing w:before="246" w:line="225" w:lineRule="auto"/>
        <w:rPr>
          <w:rFonts w:ascii="宋体" w:hAnsi="宋体" w:cs="宋体"/>
          <w:sz w:val="31"/>
          <w:szCs w:val="31"/>
        </w:rPr>
      </w:pPr>
      <w:r>
        <w:rPr>
          <w:rFonts w:ascii="宋体" w:hAnsi="宋体" w:cs="宋体"/>
          <w:b/>
          <w:bCs/>
          <w:spacing w:val="6"/>
          <w:sz w:val="31"/>
          <w:szCs w:val="31"/>
        </w:rPr>
        <w:t xml:space="preserve">采购类别：服务类</w:t>
      </w:r>
      <w:r>
        <w:rPr>
          <w:rFonts w:ascii="宋体" w:hAnsi="宋体" w:cs="宋体"/>
          <w:sz w:val="31"/>
          <w:szCs w:val="31"/>
        </w:rPr>
      </w:r>
      <w:r/>
    </w:p>
    <w:p>
      <w:pPr>
        <w:pStyle w:val="1182"/>
        <w:spacing w:line="249" w:lineRule="auto"/>
      </w:pPr>
      <w:r/>
      <w:r/>
    </w:p>
    <w:p>
      <w:pPr>
        <w:pStyle w:val="1182"/>
        <w:spacing w:line="249" w:lineRule="auto"/>
      </w:pPr>
      <w:r/>
      <w:r/>
    </w:p>
    <w:p>
      <w:pPr>
        <w:pStyle w:val="1182"/>
        <w:spacing w:line="249" w:lineRule="auto"/>
      </w:pPr>
      <w:r/>
      <w:r/>
    </w:p>
    <w:p>
      <w:pPr>
        <w:pStyle w:val="1182"/>
        <w:spacing w:line="249" w:lineRule="auto"/>
      </w:pPr>
      <w:r/>
      <w:r/>
    </w:p>
    <w:p>
      <w:pPr>
        <w:pStyle w:val="1182"/>
        <w:spacing w:line="249" w:lineRule="auto"/>
      </w:pPr>
      <w:r/>
      <w:r/>
    </w:p>
    <w:p>
      <w:pPr>
        <w:pStyle w:val="1182"/>
        <w:spacing w:line="250" w:lineRule="auto"/>
      </w:pPr>
      <w:r/>
      <w:r/>
    </w:p>
    <w:p>
      <w:pPr>
        <w:pStyle w:val="1182"/>
        <w:spacing w:line="250" w:lineRule="auto"/>
      </w:pPr>
      <w:r/>
      <w:r/>
    </w:p>
    <w:p>
      <w:pPr>
        <w:pStyle w:val="1182"/>
        <w:spacing w:line="250" w:lineRule="auto"/>
      </w:pPr>
      <w:r/>
      <w:r/>
    </w:p>
    <w:p>
      <w:pPr>
        <w:pStyle w:val="1182"/>
        <w:spacing w:line="250" w:lineRule="auto"/>
      </w:pPr>
      <w:r/>
      <w:r/>
    </w:p>
    <w:p>
      <w:pPr>
        <w:pStyle w:val="1182"/>
        <w:spacing w:line="250" w:lineRule="auto"/>
      </w:pPr>
      <w:r/>
      <w:r/>
    </w:p>
    <w:p>
      <w:pPr>
        <w:pStyle w:val="1182"/>
        <w:spacing w:line="250" w:lineRule="auto"/>
      </w:pPr>
      <w:r/>
      <w:r/>
    </w:p>
    <w:p>
      <w:pPr>
        <w:pStyle w:val="1182"/>
        <w:spacing w:line="250" w:lineRule="auto"/>
      </w:pPr>
      <w:r/>
      <w:r/>
    </w:p>
    <w:p>
      <w:pPr>
        <w:pStyle w:val="1182"/>
        <w:spacing w:line="250" w:lineRule="auto"/>
      </w:pPr>
      <w:r/>
      <w:r/>
    </w:p>
    <w:p>
      <w:pPr>
        <w:pStyle w:val="1182"/>
        <w:spacing w:line="250" w:lineRule="auto"/>
      </w:pPr>
      <w:r/>
      <w:r/>
    </w:p>
    <w:p>
      <w:pPr>
        <w:pStyle w:val="1182"/>
        <w:spacing w:line="250" w:lineRule="auto"/>
      </w:pPr>
      <w:r/>
      <w:r/>
    </w:p>
    <w:p>
      <w:pPr>
        <w:pStyle w:val="1182"/>
        <w:spacing w:line="250" w:lineRule="auto"/>
      </w:pPr>
      <w:r/>
      <w:r/>
    </w:p>
    <w:p>
      <w:pPr>
        <w:pStyle w:val="1182"/>
        <w:spacing w:line="250" w:lineRule="auto"/>
      </w:pPr>
      <w:r/>
      <w:r/>
    </w:p>
    <w:p>
      <w:pPr>
        <w:pStyle w:val="1011"/>
        <w:ind w:left="2939"/>
        <w:spacing w:before="101" w:line="225" w:lineRule="auto"/>
        <w:rPr>
          <w:rFonts w:ascii="宋体" w:hAnsi="宋体" w:cs="宋体"/>
          <w:sz w:val="31"/>
          <w:szCs w:val="31"/>
        </w:rPr>
      </w:pPr>
      <w:r/>
      <w:bookmarkStart w:id="6" w:name="OLE_LINK8"/>
      <w:r/>
      <w:bookmarkStart w:id="7" w:name="OLE_LINK7"/>
      <w:r/>
      <w:bookmarkStart w:id="8" w:name="OLE_LINK25"/>
      <w:r>
        <w:rPr>
          <w:rFonts w:ascii="宋体" w:hAnsi="宋体" w:cs="宋体"/>
          <w:b/>
          <w:bCs/>
          <w:spacing w:val="6"/>
          <w:sz w:val="31"/>
          <w:szCs w:val="31"/>
        </w:rPr>
        <w:t xml:space="preserve">苏州常发工程咨询有限公司</w:t>
      </w:r>
      <w:bookmarkEnd w:id="6"/>
      <w:r/>
      <w:bookmarkEnd w:id="7"/>
      <w:r/>
      <w:bookmarkEnd w:id="8"/>
      <w:r>
        <w:rPr>
          <w:rFonts w:ascii="宋体" w:hAnsi="宋体" w:cs="宋体"/>
          <w:sz w:val="31"/>
          <w:szCs w:val="31"/>
        </w:rPr>
      </w:r>
      <w:r/>
    </w:p>
    <w:p>
      <w:pPr>
        <w:pStyle w:val="1011"/>
        <w:ind w:left="3739"/>
        <w:spacing w:before="245" w:line="226" w:lineRule="auto"/>
        <w:rPr>
          <w:rFonts w:ascii="宋体" w:hAnsi="宋体" w:cs="宋体"/>
          <w:b/>
          <w:bCs/>
          <w:spacing w:val="-1"/>
          <w:sz w:val="31"/>
          <w:szCs w:val="31"/>
        </w:rPr>
      </w:pPr>
      <w:r>
        <w:rPr>
          <w:rFonts w:ascii="宋体" w:hAnsi="宋体" w:cs="宋体"/>
          <w:b/>
          <w:bCs/>
          <w:spacing w:val="-1"/>
          <w:sz w:val="31"/>
          <w:szCs w:val="31"/>
        </w:rPr>
        <w:t xml:space="preserve">二0</w:t>
      </w:r>
      <w:r>
        <w:rPr>
          <w:rFonts w:ascii="宋体" w:hAnsi="宋体" w:cs="宋体"/>
          <w:b/>
          <w:bCs/>
          <w:spacing w:val="-1"/>
          <w:sz w:val="31"/>
          <w:szCs w:val="31"/>
        </w:rPr>
        <w:t xml:space="preserve">二五年十二</w:t>
      </w:r>
      <w:r>
        <w:rPr>
          <w:rFonts w:ascii="宋体" w:hAnsi="宋体" w:cs="宋体"/>
          <w:b/>
          <w:bCs/>
          <w:spacing w:val="-1"/>
          <w:sz w:val="31"/>
          <w:szCs w:val="31"/>
        </w:rPr>
        <w:t xml:space="preserve">月</w:t>
      </w:r>
      <w:r/>
    </w:p>
    <w:p>
      <w:pPr>
        <w:pStyle w:val="1191"/>
        <w:ind w:firstLine="640"/>
        <w:jc w:val="center"/>
        <w:pageBreakBefore/>
        <w:spacing w:line="360" w:lineRule="auto"/>
        <w:tabs>
          <w:tab w:val="right" w:pos="8302" w:leader="dot"/>
        </w:tabs>
        <w:rPr>
          <w:rStyle w:val="1195"/>
          <w:rFonts w:ascii="宋体" w:hAnsi="宋体" w:cs="宋体"/>
          <w:bCs/>
          <w:sz w:val="32"/>
          <w:szCs w:val="32"/>
        </w:rPr>
      </w:pPr>
      <w:r/>
      <w:bookmarkStart w:id="9" w:name="OLE_LINK31"/>
      <w:r>
        <w:rPr>
          <w:rStyle w:val="1195"/>
          <w:rFonts w:hint="eastAsia" w:ascii="宋体" w:hAnsi="宋体" w:cs="宋体"/>
          <w:bCs/>
          <w:sz w:val="32"/>
          <w:szCs w:val="32"/>
        </w:rPr>
        <w:t xml:space="preserve">前附表</w:t>
      </w:r>
      <w:r>
        <w:rPr>
          <w:rStyle w:val="1195"/>
          <w:rFonts w:ascii="宋体" w:hAnsi="宋体" w:cs="宋体"/>
          <w:bCs/>
          <w:sz w:val="32"/>
          <w:szCs w:val="32"/>
        </w:rPr>
      </w:r>
      <w:r/>
    </w:p>
    <w:p>
      <w:pPr>
        <w:pStyle w:val="1011"/>
        <w:ind w:firstLine="420"/>
        <w:spacing w:line="360" w:lineRule="auto"/>
        <w:rPr>
          <w:rFonts w:ascii="宋体" w:hAnsi="宋体" w:cs="宋体"/>
          <w:b/>
          <w:sz w:val="44"/>
        </w:rPr>
      </w:pPr>
      <w:r>
        <w:rPr>
          <w:rFonts w:hint="eastAsia" w:ascii="宋体" w:hAnsi="宋体" w:cs="宋体"/>
        </w:rPr>
        <w:t xml:space="preserve">尊敬的投标单位：欢迎参加本项目的投标。为了保证投标顺利进行，请在制作投标文件之前，仔细阅读本招标文件的各项条款，并严格按要求制作和递交投标文件。谢谢合作！</w:t>
      </w:r>
      <w:r>
        <w:rPr>
          <w:rFonts w:ascii="宋体" w:hAnsi="宋体" w:cs="宋体"/>
          <w:b/>
          <w:sz w:val="44"/>
        </w:rPr>
      </w:r>
      <w:r/>
    </w:p>
    <w:tbl>
      <w:tblPr>
        <w:tblW w:w="5000"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696"/>
        <w:gridCol w:w="1636"/>
        <w:gridCol w:w="7581"/>
      </w:tblGrid>
      <w:tr>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tcPr>
          <w:p>
            <w:pPr>
              <w:pStyle w:val="1011"/>
              <w:jc w:val="center"/>
              <w:spacing w:line="360" w:lineRule="auto"/>
              <w:rPr>
                <w:rFonts w:ascii="宋体" w:hAnsi="宋体" w:eastAsia="Arial" w:cs="宋体"/>
                <w:b/>
                <w:bCs/>
                <w:lang w:val="zh-CN" w:eastAsia="en-US"/>
              </w:rPr>
            </w:pPr>
            <w:r>
              <w:rPr>
                <w:rFonts w:hint="eastAsia" w:ascii="宋体" w:hAnsi="宋体" w:eastAsia="Arial" w:cs="宋体"/>
                <w:b/>
                <w:bCs/>
                <w:lang w:val="zh-CN" w:eastAsia="en-US"/>
              </w:rPr>
              <w:t xml:space="preserve">项号</w:t>
            </w:r>
            <w:r>
              <w:rPr>
                <w:rFonts w:ascii="宋体" w:hAnsi="宋体" w:eastAsia="Arial" w:cs="宋体"/>
                <w:b/>
                <w:bCs/>
                <w:lang w:val="zh-CN" w:eastAsia="en-US"/>
              </w:rPr>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tcPr>
          <w:p>
            <w:pPr>
              <w:pStyle w:val="1011"/>
              <w:jc w:val="center"/>
              <w:spacing w:line="360" w:lineRule="auto"/>
              <w:rPr>
                <w:rFonts w:ascii="宋体" w:hAnsi="宋体" w:eastAsia="Arial" w:cs="宋体"/>
                <w:b/>
                <w:bCs/>
                <w:lang w:val="zh-CN" w:eastAsia="en-US"/>
              </w:rPr>
            </w:pPr>
            <w:r>
              <w:rPr>
                <w:rFonts w:hint="eastAsia" w:ascii="宋体" w:hAnsi="宋体" w:eastAsia="Arial" w:cs="宋体"/>
                <w:b/>
                <w:bCs/>
                <w:lang w:val="zh-CN" w:eastAsia="en-US"/>
              </w:rPr>
              <w:t xml:space="preserve">名称</w:t>
            </w:r>
            <w:r>
              <w:rPr>
                <w:rFonts w:ascii="宋体" w:hAnsi="宋体" w:eastAsia="Arial" w:cs="宋体"/>
                <w:b/>
                <w:bCs/>
                <w:lang w:val="zh-CN" w:eastAsia="en-US"/>
              </w:rPr>
            </w:r>
            <w:r/>
          </w:p>
        </w:tc>
        <w:tc>
          <w:tcPr>
            <w:tcBorders>
              <w:top w:val="single" w:color="000000" w:sz="6" w:space="0"/>
              <w:left w:val="single" w:color="000000" w:sz="6" w:space="0"/>
              <w:bottom w:val="single" w:color="000000" w:sz="6" w:space="0"/>
              <w:right w:val="single" w:color="000000" w:sz="6" w:space="0"/>
            </w:tcBorders>
            <w:tcW w:w="7581" w:type="dxa"/>
            <w:vAlign w:val="center"/>
            <w:textDirection w:val="lrTb"/>
            <w:noWrap/>
          </w:tcPr>
          <w:p>
            <w:pPr>
              <w:pStyle w:val="1011"/>
              <w:jc w:val="center"/>
              <w:spacing w:line="360" w:lineRule="auto"/>
              <w:rPr>
                <w:rFonts w:ascii="宋体" w:hAnsi="宋体" w:eastAsia="Arial" w:cs="宋体"/>
                <w:b/>
                <w:bCs/>
                <w:lang w:val="zh-CN" w:eastAsia="en-US"/>
              </w:rPr>
            </w:pPr>
            <w:r>
              <w:rPr>
                <w:rFonts w:hint="eastAsia" w:ascii="宋体" w:hAnsi="宋体" w:eastAsia="Arial" w:cs="宋体"/>
                <w:b/>
                <w:bCs/>
                <w:lang w:val="zh-CN" w:eastAsia="en-US"/>
              </w:rPr>
              <w:t xml:space="preserve">内容</w:t>
            </w:r>
            <w:r>
              <w:rPr>
                <w:rFonts w:ascii="宋体" w:hAnsi="宋体" w:eastAsia="Arial" w:cs="宋体"/>
                <w:b/>
                <w:bCs/>
                <w:lang w:val="zh-CN" w:eastAsia="en-US"/>
              </w:rPr>
            </w:r>
            <w:r/>
          </w:p>
        </w:tc>
      </w:tr>
      <w:tr>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tcPr>
          <w:p>
            <w:pPr>
              <w:pStyle w:val="1011"/>
              <w:jc w:val="center"/>
              <w:spacing w:line="360" w:lineRule="auto"/>
              <w:rPr>
                <w:rFonts w:ascii="宋体" w:hAnsi="宋体" w:eastAsia="Arial" w:cs="宋体"/>
                <w:lang w:val="zh-CN" w:eastAsia="en-US"/>
              </w:rPr>
            </w:pPr>
            <w:r>
              <w:rPr>
                <w:rFonts w:hint="eastAsia" w:ascii="宋体" w:hAnsi="宋体" w:eastAsia="Arial" w:cs="宋体"/>
                <w:lang w:val="zh-CN" w:eastAsia="en-US"/>
              </w:rPr>
              <w:t xml:space="preserve">1</w:t>
            </w:r>
            <w:r>
              <w:rPr>
                <w:rFonts w:ascii="宋体" w:hAnsi="宋体" w:eastAsia="Arial" w:cs="宋体"/>
                <w:lang w:val="zh-CN" w:eastAsia="en-US"/>
              </w:rPr>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tcPr>
          <w:p>
            <w:pPr>
              <w:pStyle w:val="1011"/>
              <w:jc w:val="center"/>
              <w:spacing w:line="360" w:lineRule="auto"/>
              <w:rPr>
                <w:rFonts w:ascii="宋体" w:hAnsi="宋体" w:eastAsia="Arial" w:cs="宋体"/>
                <w:lang w:val="zh-CN" w:eastAsia="en-US"/>
              </w:rPr>
            </w:pPr>
            <w:r>
              <w:rPr>
                <w:rFonts w:hint="eastAsia" w:ascii="宋体" w:hAnsi="宋体" w:eastAsia="Arial" w:cs="宋体"/>
                <w:lang w:val="zh-CN" w:eastAsia="en-US"/>
              </w:rPr>
              <w:t xml:space="preserve">招标编号</w:t>
            </w:r>
            <w:r>
              <w:rPr>
                <w:rFonts w:ascii="宋体" w:hAnsi="宋体" w:eastAsia="Arial" w:cs="宋体"/>
                <w:lang w:val="zh-CN" w:eastAsia="en-US"/>
              </w:rPr>
            </w:r>
            <w:r/>
          </w:p>
        </w:tc>
        <w:tc>
          <w:tcPr>
            <w:tcBorders>
              <w:top w:val="single" w:color="000000" w:sz="6" w:space="0"/>
              <w:left w:val="single" w:color="000000" w:sz="6" w:space="0"/>
              <w:bottom w:val="single" w:color="000000" w:sz="6" w:space="0"/>
              <w:right w:val="single" w:color="000000" w:sz="6" w:space="0"/>
            </w:tcBorders>
            <w:tcW w:w="7581" w:type="dxa"/>
            <w:vAlign w:val="center"/>
            <w:textDirection w:val="lrTb"/>
            <w:noWrap/>
          </w:tcPr>
          <w:p>
            <w:pPr>
              <w:pStyle w:val="1011"/>
              <w:spacing w:line="360" w:lineRule="auto"/>
              <w:rPr>
                <w:rFonts w:ascii="宋体" w:hAnsi="宋体" w:cs="宋体"/>
                <w:lang w:val="zh-CN" w:eastAsia="en-US"/>
              </w:rPr>
            </w:pPr>
            <w:r>
              <w:rPr>
                <w:rFonts w:ascii="宋体" w:hAnsi="宋体" w:eastAsia="Arial" w:cs="宋体"/>
              </w:rPr>
              <w:t xml:space="preserve">JSZC-320509-SZCF-G2025-000</w:t>
            </w:r>
            <w:r>
              <w:rPr>
                <w:rFonts w:hint="eastAsia" w:ascii="宋体" w:hAnsi="宋体" w:cs="宋体"/>
              </w:rPr>
              <w:t xml:space="preserve">5</w:t>
            </w:r>
            <w:r>
              <w:rPr>
                <w:rFonts w:ascii="宋体" w:hAnsi="宋体" w:cs="宋体"/>
                <w:lang w:val="zh-CN" w:eastAsia="en-US"/>
              </w:rPr>
            </w:r>
            <w:r/>
          </w:p>
        </w:tc>
      </w:tr>
      <w:tr>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tcPr>
          <w:p>
            <w:pPr>
              <w:pStyle w:val="1011"/>
              <w:jc w:val="center"/>
              <w:spacing w:line="360" w:lineRule="auto"/>
              <w:rPr>
                <w:rFonts w:ascii="宋体" w:hAnsi="宋体" w:eastAsia="Arial" w:cs="宋体"/>
                <w:lang w:val="zh-CN" w:eastAsia="en-US"/>
              </w:rPr>
            </w:pPr>
            <w:r>
              <w:rPr>
                <w:rFonts w:hint="eastAsia" w:ascii="宋体" w:hAnsi="宋体" w:eastAsia="Arial" w:cs="宋体"/>
                <w:lang w:val="zh-CN" w:eastAsia="en-US"/>
              </w:rPr>
              <w:t xml:space="preserve">2</w:t>
            </w:r>
            <w:r>
              <w:rPr>
                <w:rFonts w:ascii="宋体" w:hAnsi="宋体" w:eastAsia="Arial" w:cs="宋体"/>
                <w:lang w:val="zh-CN" w:eastAsia="en-US"/>
              </w:rPr>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tcPr>
          <w:p>
            <w:pPr>
              <w:pStyle w:val="1011"/>
              <w:jc w:val="center"/>
              <w:spacing w:line="360" w:lineRule="auto"/>
              <w:rPr>
                <w:rFonts w:ascii="宋体" w:hAnsi="宋体" w:eastAsia="Arial" w:cs="宋体"/>
                <w:lang w:val="zh-CN" w:eastAsia="en-US"/>
              </w:rPr>
            </w:pPr>
            <w:r>
              <w:rPr>
                <w:rFonts w:hint="eastAsia" w:ascii="宋体" w:hAnsi="宋体" w:eastAsia="Arial" w:cs="宋体"/>
                <w:lang w:val="zh-CN" w:eastAsia="en-US"/>
              </w:rPr>
              <w:t xml:space="preserve">招标内容</w:t>
            </w:r>
            <w:r>
              <w:rPr>
                <w:rFonts w:ascii="宋体" w:hAnsi="宋体" w:eastAsia="Arial" w:cs="宋体"/>
                <w:lang w:val="zh-CN" w:eastAsia="en-US"/>
              </w:rPr>
            </w:r>
            <w:r/>
          </w:p>
        </w:tc>
        <w:tc>
          <w:tcPr>
            <w:tcBorders>
              <w:top w:val="single" w:color="000000" w:sz="6" w:space="0"/>
              <w:left w:val="single" w:color="000000" w:sz="6" w:space="0"/>
              <w:bottom w:val="single" w:color="000000" w:sz="6" w:space="0"/>
              <w:right w:val="single" w:color="000000" w:sz="6" w:space="0"/>
            </w:tcBorders>
            <w:tcW w:w="7581" w:type="dxa"/>
            <w:vAlign w:val="center"/>
            <w:textDirection w:val="lrTb"/>
            <w:noWrap/>
          </w:tcPr>
          <w:p>
            <w:pPr>
              <w:pStyle w:val="1011"/>
              <w:spacing w:line="360" w:lineRule="auto"/>
              <w:rPr>
                <w:rFonts w:ascii="宋体" w:hAnsi="宋体" w:eastAsia="Arial" w:cs="宋体"/>
              </w:rPr>
            </w:pPr>
            <w:r>
              <w:rPr>
                <w:rFonts w:eastAsia="Arial"/>
                <w:color w:val="000000"/>
                <w:spacing w:val="-1"/>
              </w:rPr>
              <w:t xml:space="preserve">2025</w:t>
            </w:r>
            <w:r>
              <w:rPr>
                <w:rFonts w:hint="eastAsia" w:eastAsia="Arial"/>
                <w:color w:val="000000"/>
                <w:spacing w:val="-1"/>
              </w:rPr>
              <w:t xml:space="preserve">年横扇街道生活垃圾填埋场渗滤液委托处置服务</w:t>
            </w:r>
            <w:r>
              <w:rPr>
                <w:rFonts w:ascii="宋体" w:hAnsi="宋体" w:eastAsia="Arial" w:cs="宋体"/>
              </w:rPr>
            </w:r>
            <w:r/>
          </w:p>
        </w:tc>
      </w:tr>
      <w:tr>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tcPr>
          <w:p>
            <w:pPr>
              <w:pStyle w:val="1011"/>
              <w:jc w:val="center"/>
              <w:spacing w:line="360" w:lineRule="auto"/>
              <w:rPr>
                <w:rFonts w:ascii="宋体" w:hAnsi="宋体" w:eastAsia="Arial" w:cs="宋体"/>
                <w:lang w:val="zh-CN" w:eastAsia="en-US"/>
              </w:rPr>
            </w:pPr>
            <w:r>
              <w:rPr>
                <w:rFonts w:hint="eastAsia" w:ascii="宋体" w:hAnsi="宋体" w:eastAsia="Arial" w:cs="宋体"/>
                <w:lang w:val="zh-CN" w:eastAsia="en-US"/>
              </w:rPr>
              <w:t xml:space="preserve">3</w:t>
            </w:r>
            <w:r>
              <w:rPr>
                <w:rFonts w:ascii="宋体" w:hAnsi="宋体" w:eastAsia="Arial" w:cs="宋体"/>
                <w:lang w:val="zh-CN" w:eastAsia="en-US"/>
              </w:rPr>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tcPr>
          <w:p>
            <w:pPr>
              <w:pStyle w:val="1011"/>
              <w:jc w:val="center"/>
              <w:spacing w:line="360" w:lineRule="auto"/>
              <w:rPr>
                <w:rFonts w:ascii="宋体" w:hAnsi="宋体" w:eastAsia="Arial" w:cs="宋体"/>
                <w:lang w:val="zh-CN" w:eastAsia="en-US"/>
              </w:rPr>
            </w:pPr>
            <w:r>
              <w:rPr>
                <w:rFonts w:hint="eastAsia" w:ascii="宋体" w:hAnsi="宋体" w:eastAsia="Arial" w:cs="宋体"/>
                <w:lang w:val="zh-CN" w:eastAsia="en-US"/>
              </w:rPr>
              <w:t xml:space="preserve">投标有效期</w:t>
            </w:r>
            <w:r>
              <w:rPr>
                <w:rFonts w:ascii="宋体" w:hAnsi="宋体" w:eastAsia="Arial" w:cs="宋体"/>
                <w:lang w:val="zh-CN" w:eastAsia="en-US"/>
              </w:rPr>
            </w:r>
            <w:r/>
          </w:p>
        </w:tc>
        <w:tc>
          <w:tcPr>
            <w:tcBorders>
              <w:top w:val="single" w:color="000000" w:sz="6" w:space="0"/>
              <w:left w:val="single" w:color="000000" w:sz="6" w:space="0"/>
              <w:bottom w:val="single" w:color="000000" w:sz="6" w:space="0"/>
              <w:right w:val="single" w:color="000000" w:sz="6" w:space="0"/>
            </w:tcBorders>
            <w:tcW w:w="7581" w:type="dxa"/>
            <w:vAlign w:val="center"/>
            <w:textDirection w:val="lrTb"/>
            <w:noWrap/>
          </w:tcPr>
          <w:p>
            <w:pPr>
              <w:pStyle w:val="1011"/>
              <w:spacing w:line="360" w:lineRule="auto"/>
              <w:rPr>
                <w:rFonts w:ascii="宋体" w:hAnsi="宋体" w:eastAsia="Arial" w:cs="宋体"/>
                <w:lang w:val="zh-CN"/>
              </w:rPr>
            </w:pPr>
            <w:r>
              <w:rPr>
                <w:rFonts w:eastAsia="Arial"/>
                <w:color w:val="000000"/>
                <w:spacing w:val="-4"/>
                <w:u w:val="single"/>
              </w:rPr>
              <w:t xml:space="preserve">90</w:t>
            </w:r>
            <w:r>
              <w:rPr>
                <w:rFonts w:hint="eastAsia" w:eastAsia="Arial"/>
                <w:color w:val="000000"/>
                <w:spacing w:val="-4"/>
              </w:rPr>
              <w:t xml:space="preserve">日历天（从投标截止之日算起）</w:t>
            </w:r>
            <w:r>
              <w:rPr>
                <w:rFonts w:ascii="宋体" w:hAnsi="宋体" w:eastAsia="Arial" w:cs="宋体"/>
                <w:lang w:val="zh-CN"/>
              </w:rPr>
            </w:r>
            <w:r/>
          </w:p>
        </w:tc>
      </w:tr>
      <w:tr>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tcPr>
          <w:p>
            <w:pPr>
              <w:pStyle w:val="1011"/>
              <w:jc w:val="center"/>
              <w:spacing w:line="360" w:lineRule="auto"/>
              <w:rPr>
                <w:rFonts w:ascii="宋体" w:hAnsi="宋体" w:eastAsia="Arial" w:cs="宋体"/>
                <w:lang w:val="zh-CN" w:eastAsia="en-US"/>
              </w:rPr>
            </w:pPr>
            <w:r>
              <w:rPr>
                <w:rFonts w:hint="eastAsia" w:ascii="宋体" w:hAnsi="宋体" w:eastAsia="Arial" w:cs="宋体"/>
                <w:lang w:val="zh-CN" w:eastAsia="en-US"/>
              </w:rPr>
              <w:t xml:space="preserve">4</w:t>
            </w:r>
            <w:r>
              <w:rPr>
                <w:rFonts w:ascii="宋体" w:hAnsi="宋体" w:eastAsia="Arial" w:cs="宋体"/>
                <w:lang w:val="zh-CN" w:eastAsia="en-US"/>
              </w:rPr>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tcPr>
          <w:p>
            <w:pPr>
              <w:pStyle w:val="1011"/>
              <w:jc w:val="center"/>
              <w:spacing w:line="360" w:lineRule="auto"/>
              <w:rPr>
                <w:rFonts w:ascii="宋体" w:hAnsi="宋体" w:eastAsia="Arial" w:cs="宋体"/>
                <w:lang w:val="zh-CN" w:eastAsia="en-US"/>
              </w:rPr>
            </w:pPr>
            <w:r>
              <w:rPr>
                <w:rFonts w:hint="eastAsia" w:ascii="宋体" w:hAnsi="宋体" w:eastAsia="Arial" w:cs="宋体"/>
                <w:lang w:val="zh-CN" w:eastAsia="en-US"/>
              </w:rPr>
              <w:t xml:space="preserve">投标保证金</w:t>
            </w:r>
            <w:r>
              <w:rPr>
                <w:rFonts w:ascii="宋体" w:hAnsi="宋体" w:eastAsia="Arial" w:cs="宋体"/>
                <w:lang w:val="zh-CN" w:eastAsia="en-US"/>
              </w:rPr>
            </w:r>
            <w:r/>
          </w:p>
        </w:tc>
        <w:tc>
          <w:tcPr>
            <w:tcBorders>
              <w:top w:val="single" w:color="000000" w:sz="6" w:space="0"/>
              <w:left w:val="single" w:color="000000" w:sz="6" w:space="0"/>
              <w:bottom w:val="single" w:color="000000" w:sz="6" w:space="0"/>
              <w:right w:val="single" w:color="000000" w:sz="6" w:space="0"/>
            </w:tcBorders>
            <w:tcW w:w="7581" w:type="dxa"/>
            <w:vAlign w:val="center"/>
            <w:textDirection w:val="lrTb"/>
            <w:noWrap/>
          </w:tcPr>
          <w:p>
            <w:pPr>
              <w:pStyle w:val="1187"/>
              <w:spacing w:line="360" w:lineRule="auto"/>
              <w:rPr>
                <w:rStyle w:val="1217"/>
                <w:rFonts w:ascii="宋体" w:hAnsi="宋体" w:cs="宋体"/>
                <w:bCs/>
                <w:spacing w:val="0"/>
                <w:sz w:val="21"/>
                <w:szCs w:val="21"/>
              </w:rPr>
            </w:pPr>
            <w:r>
              <w:rPr>
                <w:rStyle w:val="1217"/>
                <w:rFonts w:ascii="Wingdings" w:hAnsi="Wingdings" w:eastAsia="Wingdings" w:cs="Wingdings"/>
                <w:bCs/>
                <w:spacing w:val="0"/>
                <w:sz w:val="21"/>
                <w:szCs w:val="21"/>
              </w:rPr>
              <w:t xml:space="preserve">þ</w:t>
            </w:r>
            <w:r>
              <w:rPr>
                <w:rStyle w:val="1217"/>
                <w:rFonts w:hint="eastAsia" w:ascii="宋体" w:hAnsi="宋体" w:cs="宋体"/>
                <w:bCs/>
                <w:spacing w:val="0"/>
                <w:sz w:val="21"/>
                <w:szCs w:val="21"/>
              </w:rPr>
              <w:t xml:space="preserve">不需提交，招标文件中有关投标保证金的规定均不适用。</w:t>
            </w:r>
            <w:r>
              <w:rPr>
                <w:rStyle w:val="1217"/>
                <w:rFonts w:ascii="宋体" w:hAnsi="宋体" w:cs="宋体"/>
                <w:bCs/>
                <w:spacing w:val="0"/>
                <w:sz w:val="21"/>
                <w:szCs w:val="21"/>
              </w:rPr>
            </w:r>
            <w:r/>
          </w:p>
          <w:p>
            <w:pPr>
              <w:pStyle w:val="1187"/>
              <w:spacing w:line="360" w:lineRule="auto"/>
              <w:rPr>
                <w:rFonts w:ascii="宋体" w:hAnsi="宋体" w:cs="宋体"/>
                <w:sz w:val="18"/>
                <w:szCs w:val="18"/>
              </w:rPr>
            </w:pPr>
            <w:r>
              <w:rPr>
                <w:rFonts w:ascii="宋体" w:hAnsi="宋体" w:cs="宋体"/>
                <w:sz w:val="18"/>
                <w:szCs w:val="18"/>
              </w:rPr>
            </w:r>
            <w:r/>
          </w:p>
        </w:tc>
      </w:tr>
      <w:tr>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tcPr>
          <w:p>
            <w:pPr>
              <w:pStyle w:val="1011"/>
              <w:jc w:val="center"/>
              <w:spacing w:line="360" w:lineRule="auto"/>
              <w:rPr>
                <w:rFonts w:ascii="宋体" w:hAnsi="宋体" w:eastAsia="Arial" w:cs="宋体"/>
                <w:lang w:val="zh-CN" w:eastAsia="en-US"/>
              </w:rPr>
            </w:pPr>
            <w:r>
              <w:rPr>
                <w:rFonts w:hint="eastAsia" w:ascii="宋体" w:hAnsi="宋体" w:eastAsia="Arial" w:cs="宋体"/>
                <w:lang w:val="zh-CN" w:eastAsia="en-US"/>
              </w:rPr>
              <w:t xml:space="preserve">5</w:t>
            </w:r>
            <w:r>
              <w:rPr>
                <w:rFonts w:ascii="宋体" w:hAnsi="宋体" w:eastAsia="Arial" w:cs="宋体"/>
                <w:lang w:val="zh-CN" w:eastAsia="en-US"/>
              </w:rPr>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tcPr>
          <w:p>
            <w:pPr>
              <w:pStyle w:val="1182"/>
              <w:jc w:val="center"/>
              <w:spacing w:line="360" w:lineRule="auto"/>
              <w:rPr>
                <w:rFonts w:ascii="宋体" w:hAnsi="宋体" w:cs="宋体"/>
                <w:lang w:eastAsia="en-US"/>
              </w:rPr>
            </w:pPr>
            <w:r>
              <w:rPr>
                <w:rFonts w:hint="eastAsia" w:ascii="宋体" w:hAnsi="宋体" w:cs="宋体"/>
                <w:lang w:eastAsia="en-US"/>
              </w:rPr>
              <w:t xml:space="preserve">招标代理机构</w:t>
            </w:r>
            <w:r>
              <w:rPr>
                <w:rFonts w:ascii="宋体" w:hAnsi="宋体" w:cs="宋体"/>
                <w:lang w:eastAsia="en-US"/>
              </w:rPr>
            </w:r>
            <w:r/>
          </w:p>
        </w:tc>
        <w:tc>
          <w:tcPr>
            <w:tcBorders>
              <w:top w:val="single" w:color="000000" w:sz="6" w:space="0"/>
              <w:left w:val="single" w:color="000000" w:sz="6" w:space="0"/>
              <w:bottom w:val="single" w:color="000000" w:sz="6" w:space="0"/>
              <w:right w:val="single" w:color="000000" w:sz="6" w:space="0"/>
            </w:tcBorders>
            <w:tcW w:w="7581" w:type="dxa"/>
            <w:vAlign w:val="center"/>
            <w:textDirection w:val="lrTb"/>
            <w:noWrap/>
          </w:tcPr>
          <w:p>
            <w:pPr>
              <w:pStyle w:val="1205"/>
              <w:spacing w:line="360" w:lineRule="auto"/>
              <w:rPr>
                <w:rFonts w:ascii="宋体" w:hAnsi="宋体" w:cs="宋体"/>
                <w:sz w:val="21"/>
                <w:szCs w:val="21"/>
                <w:lang w:val="en-US"/>
              </w:rPr>
            </w:pPr>
            <w:r>
              <w:rPr>
                <w:rFonts w:hint="eastAsia" w:ascii="宋体" w:hAnsi="宋体" w:cs="宋体"/>
                <w:sz w:val="21"/>
                <w:szCs w:val="21"/>
                <w:lang w:val="en-US"/>
              </w:rPr>
              <w:t xml:space="preserve">苏州常发工程咨询有限公司</w:t>
            </w:r>
            <w:r>
              <w:rPr>
                <w:rFonts w:ascii="宋体" w:hAnsi="宋体" w:cs="宋体"/>
                <w:sz w:val="21"/>
                <w:szCs w:val="21"/>
                <w:lang w:val="en-US"/>
              </w:rPr>
            </w:r>
            <w:r/>
          </w:p>
          <w:p>
            <w:pPr>
              <w:pStyle w:val="1205"/>
              <w:spacing w:line="360" w:lineRule="auto"/>
              <w:rPr>
                <w:rFonts w:ascii="宋体" w:hAnsi="宋体" w:cs="宋体"/>
                <w:sz w:val="21"/>
                <w:szCs w:val="21"/>
                <w:lang w:val="en-US"/>
              </w:rPr>
            </w:pPr>
            <w:r>
              <w:rPr>
                <w:rFonts w:hint="eastAsia" w:ascii="宋体" w:hAnsi="宋体" w:cs="宋体"/>
                <w:sz w:val="21"/>
                <w:szCs w:val="21"/>
                <w:lang w:val="en-US"/>
              </w:rPr>
              <w:t xml:space="preserve">地  址：苏州市吴中区越溪街道旺山村路和薛家湾路交叉口西南（原旺山幼儿园三楼）</w:t>
            </w:r>
            <w:r>
              <w:rPr>
                <w:rFonts w:ascii="宋体" w:hAnsi="宋体" w:cs="宋体"/>
                <w:sz w:val="21"/>
                <w:szCs w:val="21"/>
                <w:lang w:val="en-US"/>
              </w:rPr>
            </w:r>
            <w:r/>
          </w:p>
          <w:p>
            <w:pPr>
              <w:pStyle w:val="1205"/>
              <w:spacing w:line="360" w:lineRule="auto"/>
              <w:rPr>
                <w:rFonts w:ascii="宋体" w:hAnsi="宋体" w:cs="宋体"/>
                <w:sz w:val="21"/>
                <w:szCs w:val="21"/>
                <w:lang w:val="en-US"/>
              </w:rPr>
            </w:pPr>
            <w:r>
              <w:rPr>
                <w:rFonts w:hint="eastAsia" w:ascii="宋体" w:hAnsi="宋体" w:cs="宋体"/>
                <w:sz w:val="21"/>
                <w:szCs w:val="21"/>
                <w:lang w:val="en-US"/>
              </w:rPr>
              <w:t xml:space="preserve">邮编：215100</w:t>
            </w:r>
            <w:r>
              <w:rPr>
                <w:rFonts w:ascii="宋体" w:hAnsi="宋体" w:cs="宋体"/>
                <w:sz w:val="21"/>
                <w:szCs w:val="21"/>
                <w:lang w:val="en-US"/>
              </w:rPr>
            </w:r>
            <w:r/>
          </w:p>
          <w:p>
            <w:pPr>
              <w:pStyle w:val="1011"/>
              <w:spacing w:line="360" w:lineRule="auto"/>
              <w:rPr>
                <w:rFonts w:ascii="宋体" w:hAnsi="宋体" w:eastAsia="Arial" w:cs="宋体"/>
              </w:rPr>
            </w:pPr>
            <w:r>
              <w:rPr>
                <w:rFonts w:hint="eastAsia" w:ascii="宋体" w:hAnsi="宋体" w:eastAsia="Arial" w:cs="宋体"/>
              </w:rPr>
              <w:t xml:space="preserve">电话/传真：</w:t>
            </w:r>
            <w:r>
              <w:rPr>
                <w:rFonts w:hint="eastAsia" w:ascii="宋体" w:hAnsi="宋体" w:eastAsia="Arial"/>
              </w:rPr>
              <w:t xml:space="preserve">0512-66359719</w:t>
            </w:r>
            <w:r>
              <w:rPr>
                <w:rFonts w:ascii="宋体" w:hAnsi="宋体" w:eastAsia="Arial" w:cs="宋体"/>
              </w:rPr>
            </w:r>
            <w:r/>
          </w:p>
          <w:p>
            <w:pPr>
              <w:pStyle w:val="1011"/>
              <w:spacing w:line="360" w:lineRule="auto"/>
              <w:rPr>
                <w:rFonts w:ascii="宋体" w:hAnsi="宋体" w:eastAsia="Arial" w:cs="宋体"/>
              </w:rPr>
            </w:pPr>
            <w:r>
              <w:rPr>
                <w:rFonts w:hint="eastAsia" w:ascii="宋体" w:hAnsi="宋体" w:eastAsia="Arial" w:cs="宋体"/>
                <w:color w:val="000000"/>
              </w:rPr>
              <w:t xml:space="preserve">联系人：黄彬</w:t>
            </w:r>
            <w:r>
              <w:rPr>
                <w:rFonts w:ascii="宋体" w:hAnsi="宋体" w:eastAsia="Arial" w:cs="宋体"/>
              </w:rPr>
            </w:r>
            <w:r/>
          </w:p>
        </w:tc>
      </w:tr>
      <w:tr>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tcPr>
          <w:p>
            <w:pPr>
              <w:pStyle w:val="1011"/>
              <w:jc w:val="center"/>
              <w:spacing w:line="360" w:lineRule="auto"/>
              <w:rPr>
                <w:rFonts w:ascii="宋体" w:hAnsi="宋体" w:eastAsia="Arial" w:cs="宋体"/>
                <w:lang w:eastAsia="en-US"/>
              </w:rPr>
            </w:pPr>
            <w:r>
              <w:rPr>
                <w:rFonts w:hint="eastAsia" w:ascii="宋体" w:hAnsi="宋体" w:eastAsia="Arial" w:cs="宋体"/>
                <w:lang w:eastAsia="en-US"/>
              </w:rPr>
              <w:t xml:space="preserve">6</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tcPr>
          <w:p>
            <w:pPr>
              <w:pStyle w:val="1011"/>
              <w:jc w:val="center"/>
              <w:spacing w:line="360" w:lineRule="auto"/>
              <w:tabs>
                <w:tab w:val="left" w:pos="3600" w:leader="none"/>
              </w:tabs>
              <w:rPr>
                <w:rFonts w:ascii="宋体" w:hAnsi="宋体" w:eastAsia="Arial" w:cs="宋体"/>
                <w:lang w:val="zh-CN" w:eastAsia="en-US"/>
              </w:rPr>
            </w:pPr>
            <w:r>
              <w:rPr>
                <w:rFonts w:hint="eastAsia" w:ascii="宋体" w:hAnsi="宋体" w:eastAsia="Arial" w:cs="宋体"/>
                <w:lang w:eastAsia="en-US"/>
              </w:rPr>
              <w:t xml:space="preserve">采购单位</w:t>
            </w:r>
            <w:r>
              <w:rPr>
                <w:rFonts w:ascii="宋体" w:hAnsi="宋体" w:eastAsia="Arial" w:cs="宋体"/>
                <w:lang w:val="zh-CN" w:eastAsia="en-US"/>
              </w:rPr>
            </w:r>
            <w:r/>
          </w:p>
        </w:tc>
        <w:tc>
          <w:tcPr>
            <w:tcBorders>
              <w:top w:val="single" w:color="000000" w:sz="6" w:space="0"/>
              <w:left w:val="single" w:color="000000" w:sz="6" w:space="0"/>
              <w:bottom w:val="single" w:color="000000" w:sz="6" w:space="0"/>
              <w:right w:val="single" w:color="000000" w:sz="6" w:space="0"/>
            </w:tcBorders>
            <w:tcW w:w="7581" w:type="dxa"/>
            <w:vAlign w:val="center"/>
            <w:textDirection w:val="lrTb"/>
            <w:noWrap/>
          </w:tcPr>
          <w:p>
            <w:pPr>
              <w:pStyle w:val="1011"/>
              <w:spacing w:before="188" w:line="220" w:lineRule="auto"/>
              <w:rPr>
                <w:rFonts w:ascii="宋体" w:hAnsi="宋体" w:cs="宋体"/>
              </w:rPr>
            </w:pPr>
            <w:r>
              <w:rPr>
                <w:rFonts w:hint="eastAsia" w:ascii="宋体" w:hAnsi="宋体" w:cs="宋体"/>
                <w:spacing w:val="-1"/>
              </w:rPr>
              <w:t xml:space="preserve">苏州市吴江区人民政府横扇街道办事处</w:t>
            </w:r>
            <w:r>
              <w:rPr>
                <w:rFonts w:ascii="宋体" w:hAnsi="宋体" w:cs="宋体"/>
              </w:rPr>
            </w:r>
            <w:r/>
          </w:p>
          <w:p>
            <w:pPr>
              <w:pStyle w:val="1011"/>
              <w:spacing w:before="190" w:line="220" w:lineRule="auto"/>
              <w:rPr>
                <w:rFonts w:ascii="宋体" w:hAnsi="宋体" w:cs="宋体"/>
              </w:rPr>
            </w:pPr>
            <w:r>
              <w:rPr>
                <w:rFonts w:hint="eastAsia" w:ascii="宋体" w:hAnsi="宋体" w:cs="宋体"/>
                <w:spacing w:val="-1"/>
              </w:rPr>
              <w:t xml:space="preserve">地址：苏州市吴江区横扇环湖路</w:t>
            </w:r>
            <w:r>
              <w:rPr>
                <w:rFonts w:ascii="宋体" w:hAnsi="宋体" w:cs="宋体"/>
              </w:rPr>
            </w:r>
            <w:r/>
          </w:p>
          <w:p>
            <w:pPr>
              <w:pStyle w:val="1011"/>
              <w:spacing w:before="188" w:line="220" w:lineRule="auto"/>
              <w:rPr>
                <w:rFonts w:ascii="宋体" w:hAnsi="宋体" w:cs="宋体"/>
              </w:rPr>
            </w:pPr>
            <w:r>
              <w:rPr>
                <w:rFonts w:hint="eastAsia" w:ascii="宋体" w:hAnsi="宋体" w:cs="宋体"/>
                <w:spacing w:val="-1"/>
              </w:rPr>
              <w:t xml:space="preserve">联系方式：吕小华  0512-63694066</w:t>
            </w:r>
            <w:r>
              <w:rPr>
                <w:rFonts w:ascii="宋体" w:hAnsi="宋体" w:cs="宋体"/>
              </w:rPr>
            </w:r>
            <w:r/>
          </w:p>
          <w:p>
            <w:pPr>
              <w:pStyle w:val="1011"/>
              <w:spacing w:line="360" w:lineRule="auto"/>
              <w:rPr>
                <w:rFonts w:eastAsia="Arial"/>
              </w:rPr>
            </w:pPr>
            <w:r>
              <w:rPr>
                <w:rFonts w:eastAsia="Arial"/>
              </w:rPr>
            </w:r>
            <w:r/>
          </w:p>
        </w:tc>
      </w:tr>
      <w:tr>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tcPr>
          <w:p>
            <w:pPr>
              <w:pStyle w:val="1011"/>
              <w:jc w:val="center"/>
              <w:spacing w:line="360" w:lineRule="auto"/>
              <w:rPr>
                <w:rFonts w:ascii="宋体" w:hAnsi="宋体" w:eastAsia="Arial" w:cs="宋体"/>
                <w:lang w:eastAsia="en-US"/>
              </w:rPr>
            </w:pPr>
            <w:r>
              <w:rPr>
                <w:rFonts w:hint="eastAsia" w:ascii="宋体" w:hAnsi="宋体" w:eastAsia="Arial" w:cs="宋体"/>
                <w:lang w:eastAsia="en-US"/>
              </w:rPr>
              <w:t xml:space="preserve">7</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tcPr>
          <w:p>
            <w:pPr>
              <w:pStyle w:val="1011"/>
              <w:jc w:val="center"/>
              <w:spacing w:line="440" w:lineRule="exact"/>
              <w:rPr>
                <w:rFonts w:ascii="宋体" w:hAnsi="宋体" w:eastAsia="Arial" w:cs="宋体"/>
                <w:lang w:eastAsia="en-US"/>
              </w:rPr>
            </w:pPr>
            <w:r>
              <w:rPr>
                <w:rFonts w:hint="eastAsia" w:ascii="宋体" w:hAnsi="宋体" w:eastAsia="Arial" w:cs="宋体"/>
                <w:lang w:eastAsia="en-US"/>
              </w:rPr>
              <w:t xml:space="preserve">投标文件组成</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7581" w:type="dxa"/>
            <w:vAlign w:val="center"/>
            <w:textDirection w:val="lrTb"/>
            <w:noWrap/>
          </w:tcPr>
          <w:p>
            <w:pPr>
              <w:pStyle w:val="1011"/>
              <w:spacing w:line="440" w:lineRule="exact"/>
              <w:rPr>
                <w:rFonts w:ascii="宋体" w:hAnsi="宋体" w:eastAsia="Arial" w:cs="宋体"/>
              </w:rPr>
            </w:pPr>
            <w:r>
              <w:rPr>
                <w:rFonts w:hint="eastAsia" w:ascii="宋体" w:hAnsi="宋体" w:eastAsia="Arial" w:cs="宋体"/>
                <w:lang w:eastAsia="en-US"/>
              </w:rPr>
              <w:t xml:space="preserve">详见招标文件第二章</w:t>
            </w:r>
            <w:r>
              <w:rPr>
                <w:rFonts w:ascii="宋体" w:hAnsi="宋体" w:eastAsia="Arial" w:cs="宋体"/>
              </w:rPr>
            </w:r>
            <w:r/>
          </w:p>
        </w:tc>
      </w:tr>
      <w:tr>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tcPr>
          <w:p>
            <w:pPr>
              <w:pStyle w:val="1011"/>
              <w:jc w:val="center"/>
              <w:spacing w:line="360" w:lineRule="auto"/>
              <w:rPr>
                <w:rFonts w:ascii="宋体" w:hAnsi="宋体" w:eastAsia="Arial" w:cs="宋体"/>
                <w:lang w:eastAsia="en-US"/>
              </w:rPr>
            </w:pPr>
            <w:r>
              <w:rPr>
                <w:rFonts w:hint="eastAsia" w:ascii="宋体" w:hAnsi="宋体" w:eastAsia="Arial" w:cs="宋体"/>
                <w:lang w:eastAsia="en-US"/>
              </w:rPr>
              <w:t xml:space="preserve">8</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tcPr>
          <w:p>
            <w:pPr>
              <w:pStyle w:val="1193"/>
              <w:ind w:left="0"/>
              <w:spacing w:line="400" w:lineRule="exact"/>
              <w:rPr>
                <w:rFonts w:ascii="宋体" w:hAnsi="宋体" w:eastAsia="Arial" w:cs="宋体"/>
                <w:sz w:val="21"/>
                <w:szCs w:val="21"/>
                <w:lang w:eastAsia="en-US"/>
              </w:rPr>
            </w:pPr>
            <w:r>
              <w:rPr>
                <w:rFonts w:hint="eastAsia" w:ascii="宋体" w:hAnsi="宋体" w:eastAsia="Arial" w:cs="宋体"/>
                <w:sz w:val="21"/>
                <w:szCs w:val="21"/>
                <w:lang w:eastAsia="en-US"/>
              </w:rPr>
              <w:t xml:space="preserve">网上报名截止时    间</w:t>
            </w:r>
            <w:r>
              <w:rPr>
                <w:rFonts w:ascii="宋体" w:hAnsi="宋体" w:eastAsia="Arial" w:cs="宋体"/>
                <w:sz w:val="21"/>
                <w:szCs w:val="21"/>
                <w:lang w:eastAsia="en-US"/>
              </w:rPr>
            </w:r>
            <w:r/>
          </w:p>
          <w:p>
            <w:pPr>
              <w:pStyle w:val="1011"/>
              <w:jc w:val="center"/>
              <w:spacing w:line="440" w:lineRule="exact"/>
              <w:rPr>
                <w:rFonts w:ascii="宋体" w:hAnsi="宋体" w:eastAsia="Arial" w:cs="宋体"/>
                <w:lang w:eastAsia="en-US"/>
              </w:rPr>
            </w:pP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7581" w:type="dxa"/>
            <w:vAlign w:val="center"/>
            <w:textDirection w:val="lrTb"/>
            <w:noWrap/>
          </w:tcPr>
          <w:p>
            <w:pPr>
              <w:pStyle w:val="1011"/>
              <w:spacing w:line="440" w:lineRule="exact"/>
              <w:rPr>
                <w:rFonts w:ascii="宋体" w:hAnsi="宋体" w:eastAsia="Arial" w:cs="宋体"/>
              </w:rPr>
            </w:pPr>
            <w:r>
              <w:rPr>
                <w:rFonts w:ascii="SimSun" w:hAnsi="SimSun" w:eastAsia="SimSun" w:cs="SimSun"/>
              </w:rPr>
              <w:t xml:space="preserve">2025年12月10日23:59（北京时间）</w:t>
            </w:r>
            <w:r>
              <w:rPr>
                <w:rFonts w:hint="eastAsia" w:ascii="宋体" w:hAnsi="宋体" w:cs="宋体"/>
                <w:bCs/>
                <w:lang w:val="zh-CN"/>
              </w:rPr>
              <w:t xml:space="preserve">，</w:t>
            </w:r>
            <w:r>
              <w:rPr>
                <w:rFonts w:hint="eastAsia" w:ascii="宋体" w:hAnsi="宋体" w:eastAsia="Arial" w:cs="宋体"/>
                <w:lang w:val="zh-CN"/>
              </w:rPr>
              <w:t xml:space="preserve">每天上午00:00-12:00，下午12:00-23:59（北京时间，法定节假日除外）</w:t>
            </w:r>
            <w:r>
              <w:rPr>
                <w:rFonts w:ascii="宋体" w:hAnsi="宋体" w:eastAsia="Arial" w:cs="宋体"/>
              </w:rPr>
            </w:r>
            <w:r/>
          </w:p>
        </w:tc>
      </w:tr>
      <w:tr>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tcPr>
          <w:p>
            <w:pPr>
              <w:pStyle w:val="1011"/>
              <w:jc w:val="center"/>
              <w:spacing w:line="360" w:lineRule="auto"/>
              <w:rPr>
                <w:rFonts w:ascii="宋体" w:hAnsi="宋体" w:eastAsia="Arial" w:cs="宋体"/>
                <w:lang w:eastAsia="en-US"/>
              </w:rPr>
            </w:pPr>
            <w:r>
              <w:rPr>
                <w:rFonts w:hint="eastAsia" w:ascii="宋体" w:hAnsi="宋体" w:eastAsia="Arial" w:cs="宋体"/>
                <w:lang w:eastAsia="en-US"/>
              </w:rPr>
              <w:t xml:space="preserve">9</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tcPr>
          <w:p>
            <w:pPr>
              <w:pStyle w:val="1011"/>
              <w:jc w:val="center"/>
              <w:spacing w:line="440" w:lineRule="exact"/>
              <w:rPr>
                <w:rFonts w:ascii="宋体" w:hAnsi="宋体" w:eastAsia="Arial" w:cs="宋体"/>
              </w:rPr>
            </w:pPr>
            <w:r>
              <w:rPr>
                <w:rFonts w:hint="eastAsia" w:ascii="宋体" w:hAnsi="宋体" w:eastAsia="Arial" w:cs="宋体"/>
              </w:rPr>
              <w:t xml:space="preserve">投标文件网上</w:t>
            </w:r>
            <w:r>
              <w:rPr>
                <w:rFonts w:ascii="宋体" w:hAnsi="宋体" w:eastAsia="Arial" w:cs="宋体"/>
              </w:rPr>
            </w:r>
            <w:r/>
          </w:p>
          <w:p>
            <w:pPr>
              <w:pStyle w:val="1011"/>
              <w:jc w:val="center"/>
              <w:spacing w:line="360" w:lineRule="auto"/>
              <w:rPr>
                <w:rFonts w:ascii="宋体" w:hAnsi="宋体" w:eastAsia="Arial" w:cs="宋体"/>
              </w:rPr>
            </w:pPr>
            <w:r>
              <w:rPr>
                <w:rFonts w:hint="eastAsia" w:ascii="宋体" w:hAnsi="宋体" w:eastAsia="Arial" w:cs="宋体"/>
              </w:rPr>
              <w:t xml:space="preserve">提交截止时间</w:t>
            </w:r>
            <w:r>
              <w:rPr>
                <w:rFonts w:ascii="宋体" w:hAnsi="宋体" w:eastAsia="Arial" w:cs="宋体"/>
              </w:rPr>
            </w:r>
            <w:r/>
          </w:p>
        </w:tc>
        <w:tc>
          <w:tcPr>
            <w:tcBorders>
              <w:top w:val="single" w:color="000000" w:sz="6" w:space="0"/>
              <w:left w:val="single" w:color="000000" w:sz="6" w:space="0"/>
              <w:bottom w:val="single" w:color="000000" w:sz="6" w:space="0"/>
              <w:right w:val="single" w:color="000000" w:sz="6" w:space="0"/>
            </w:tcBorders>
            <w:tcW w:w="7581" w:type="dxa"/>
            <w:vAlign w:val="center"/>
            <w:textDirection w:val="lrTb"/>
            <w:noWrap/>
          </w:tcPr>
          <w:p>
            <w:pPr>
              <w:pStyle w:val="1011"/>
              <w:spacing w:line="360" w:lineRule="auto"/>
              <w:rPr>
                <w:rFonts w:ascii="宋体" w:hAnsi="宋体" w:eastAsia="Arial" w:cs="宋体"/>
              </w:rPr>
            </w:pPr>
            <w:r>
              <w:rPr>
                <w:rFonts w:hint="eastAsia" w:ascii="宋体" w:hAnsi="宋体" w:eastAsia="Arial" w:cs="宋体"/>
              </w:rPr>
              <w:t xml:space="preserve">2025年12月24日13:30（北京时间）</w:t>
            </w:r>
            <w:r>
              <w:rPr>
                <w:rFonts w:ascii="宋体" w:hAnsi="宋体" w:eastAsia="Arial" w:cs="宋体"/>
              </w:rPr>
            </w:r>
            <w:r/>
          </w:p>
          <w:p>
            <w:pPr>
              <w:pStyle w:val="1183"/>
              <w:ind w:left="0"/>
              <w:rPr>
                <w:rFonts w:ascii="宋体" w:hAnsi="宋体" w:eastAsia="Arial" w:cs="宋体"/>
              </w:rPr>
            </w:pPr>
            <w:r>
              <w:rPr>
                <w:rFonts w:hint="eastAsia" w:ascii="宋体" w:hAnsi="宋体" w:eastAsia="Arial" w:cs="宋体"/>
              </w:rPr>
              <w:t xml:space="preserve">投标文件必须在截止时间前完成提交（上传），逾期提交（上传）的投标文件恕不接受。</w:t>
            </w:r>
            <w:r>
              <w:rPr>
                <w:rFonts w:ascii="宋体" w:hAnsi="宋体" w:eastAsia="Arial" w:cs="宋体"/>
              </w:rPr>
            </w:r>
            <w:r/>
          </w:p>
        </w:tc>
      </w:tr>
      <w:tr>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tcPr>
          <w:p>
            <w:pPr>
              <w:pStyle w:val="1011"/>
              <w:jc w:val="center"/>
              <w:spacing w:line="360" w:lineRule="auto"/>
              <w:rPr>
                <w:rFonts w:ascii="宋体" w:hAnsi="宋体" w:eastAsia="Arial" w:cs="宋体"/>
                <w:lang w:eastAsia="en-US"/>
              </w:rPr>
            </w:pPr>
            <w:r>
              <w:rPr>
                <w:rFonts w:hint="eastAsia" w:ascii="宋体" w:hAnsi="宋体" w:eastAsia="Arial" w:cs="宋体"/>
                <w:lang w:eastAsia="en-US"/>
              </w:rPr>
              <w:t xml:space="preserve">10</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tcPr>
          <w:p>
            <w:pPr>
              <w:pStyle w:val="1011"/>
              <w:jc w:val="center"/>
              <w:spacing w:line="440" w:lineRule="exact"/>
              <w:rPr>
                <w:rFonts w:ascii="宋体" w:hAnsi="宋体" w:eastAsia="Arial" w:cs="宋体"/>
                <w:lang w:eastAsia="en-US"/>
              </w:rPr>
            </w:pPr>
            <w:r>
              <w:rPr>
                <w:rFonts w:hint="eastAsia" w:ascii="宋体" w:hAnsi="宋体" w:eastAsia="Arial" w:cs="宋体"/>
                <w:lang w:eastAsia="en-US"/>
              </w:rPr>
              <w:t xml:space="preserve">开标时间</w:t>
            </w:r>
            <w:r>
              <w:rPr>
                <w:rFonts w:ascii="宋体" w:hAnsi="宋体" w:eastAsia="Arial" w:cs="宋体"/>
                <w:lang w:eastAsia="en-US"/>
              </w:rPr>
            </w:r>
            <w:r/>
          </w:p>
          <w:p>
            <w:pPr>
              <w:pStyle w:val="1011"/>
              <w:jc w:val="center"/>
              <w:spacing w:line="440" w:lineRule="exact"/>
              <w:rPr>
                <w:rFonts w:ascii="宋体" w:hAnsi="宋体" w:eastAsia="Arial" w:cs="宋体"/>
              </w:rPr>
            </w:pPr>
            <w:r>
              <w:rPr>
                <w:rFonts w:hint="eastAsia" w:ascii="宋体" w:hAnsi="宋体" w:eastAsia="Arial" w:cs="宋体"/>
                <w:lang w:eastAsia="en-US"/>
              </w:rPr>
              <w:t xml:space="preserve">开标地点</w:t>
            </w:r>
            <w:r>
              <w:rPr>
                <w:rFonts w:ascii="宋体" w:hAnsi="宋体" w:eastAsia="Arial" w:cs="宋体"/>
              </w:rPr>
            </w:r>
            <w:r/>
          </w:p>
        </w:tc>
        <w:tc>
          <w:tcPr>
            <w:tcBorders>
              <w:top w:val="single" w:color="000000" w:sz="6" w:space="0"/>
              <w:left w:val="single" w:color="000000" w:sz="6" w:space="0"/>
              <w:bottom w:val="single" w:color="000000" w:sz="6" w:space="0"/>
              <w:right w:val="single" w:color="000000" w:sz="6" w:space="0"/>
            </w:tcBorders>
            <w:tcW w:w="7581" w:type="dxa"/>
            <w:vAlign w:val="center"/>
            <w:textDirection w:val="lrTb"/>
            <w:noWrap/>
          </w:tcPr>
          <w:p>
            <w:pPr>
              <w:pStyle w:val="1011"/>
              <w:spacing w:line="440" w:lineRule="exact"/>
              <w:rPr>
                <w:rFonts w:ascii="宋体" w:hAnsi="宋体" w:eastAsia="Arial" w:cs="宋体"/>
                <w:lang w:eastAsia="en-US"/>
              </w:rPr>
            </w:pPr>
            <w:r>
              <w:rPr>
                <w:rFonts w:hint="eastAsia" w:ascii="宋体" w:hAnsi="宋体" w:eastAsia="Arial" w:cs="宋体"/>
                <w:lang w:eastAsia="en-US"/>
              </w:rPr>
              <w:t xml:space="preserve">2025年12月24日13:30（北京时间）</w:t>
            </w:r>
            <w:r>
              <w:rPr>
                <w:rFonts w:ascii="宋体" w:hAnsi="宋体" w:eastAsia="Arial" w:cs="宋体"/>
                <w:lang w:eastAsia="en-US"/>
              </w:rPr>
            </w:r>
            <w:r/>
          </w:p>
          <w:p>
            <w:pPr>
              <w:pStyle w:val="1011"/>
              <w:spacing w:line="440" w:lineRule="exact"/>
              <w:rPr>
                <w:rFonts w:ascii="宋体" w:hAnsi="宋体" w:eastAsia="Arial" w:cs="宋体"/>
                <w:lang w:eastAsia="en-US"/>
              </w:rPr>
            </w:pPr>
            <w:r>
              <w:rPr>
                <w:rFonts w:hint="eastAsia" w:ascii="宋体" w:hAnsi="宋体" w:eastAsia="Arial" w:cs="宋体"/>
                <w:lang w:eastAsia="en-US"/>
              </w:rPr>
              <w:t xml:space="preserve">“苏采云”系统（网址：http://jszfcg.jsczt.cn/）</w:t>
            </w:r>
            <w:r>
              <w:rPr>
                <w:rFonts w:ascii="宋体" w:hAnsi="宋体" w:eastAsia="Arial" w:cs="宋体"/>
                <w:lang w:eastAsia="en-US"/>
              </w:rPr>
            </w:r>
            <w:r/>
          </w:p>
          <w:p>
            <w:pPr>
              <w:pStyle w:val="1011"/>
              <w:spacing w:line="440" w:lineRule="exact"/>
              <w:rPr>
                <w:rFonts w:ascii="宋体" w:hAnsi="宋体" w:eastAsia="Arial" w:cs="宋体"/>
              </w:rPr>
            </w:pPr>
            <w:r>
              <w:rPr>
                <w:rFonts w:hint="eastAsia" w:ascii="宋体" w:hAnsi="宋体" w:eastAsia="Arial" w:cs="宋体"/>
                <w:b/>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eastAsia="Arial" w:cs="宋体"/>
              </w:rPr>
            </w:r>
            <w:r/>
          </w:p>
        </w:tc>
      </w:tr>
      <w:tr>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tcPr>
          <w:p>
            <w:pPr>
              <w:pStyle w:val="1011"/>
              <w:jc w:val="center"/>
              <w:spacing w:line="360" w:lineRule="auto"/>
              <w:rPr>
                <w:rFonts w:ascii="宋体" w:hAnsi="宋体" w:eastAsia="Arial" w:cs="宋体"/>
                <w:lang w:eastAsia="en-US"/>
              </w:rPr>
            </w:pPr>
            <w:r>
              <w:rPr>
                <w:rFonts w:hint="eastAsia" w:ascii="宋体" w:hAnsi="宋体" w:eastAsia="Arial" w:cs="宋体"/>
                <w:lang w:eastAsia="en-US"/>
              </w:rPr>
              <w:t xml:space="preserve">11</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tcPr>
          <w:p>
            <w:pPr>
              <w:pStyle w:val="1011"/>
              <w:jc w:val="center"/>
              <w:spacing w:line="312" w:lineRule="auto"/>
              <w:rPr>
                <w:rFonts w:ascii="宋体" w:hAnsi="宋体" w:eastAsia="Arial" w:cs="宋体"/>
                <w:lang w:eastAsia="en-US"/>
              </w:rPr>
            </w:pPr>
            <w:r>
              <w:rPr>
                <w:rFonts w:hint="eastAsia" w:ascii="宋体" w:hAnsi="宋体" w:eastAsia="Arial" w:cs="宋体"/>
                <w:lang w:eastAsia="en-US"/>
              </w:rPr>
              <w:t xml:space="preserve">评标时间</w:t>
            </w:r>
            <w:r>
              <w:rPr>
                <w:rFonts w:ascii="宋体" w:hAnsi="宋体" w:eastAsia="Arial" w:cs="宋体"/>
                <w:lang w:eastAsia="en-US"/>
              </w:rPr>
            </w:r>
            <w:r/>
          </w:p>
          <w:p>
            <w:pPr>
              <w:pStyle w:val="1011"/>
              <w:jc w:val="center"/>
              <w:spacing w:line="312" w:lineRule="auto"/>
              <w:rPr>
                <w:rFonts w:ascii="宋体" w:hAnsi="宋体" w:eastAsia="Arial" w:cs="宋体"/>
                <w:szCs w:val="20"/>
                <w:lang w:eastAsia="en-US"/>
              </w:rPr>
            </w:pPr>
            <w:r>
              <w:rPr>
                <w:rFonts w:hint="eastAsia" w:ascii="宋体" w:hAnsi="宋体" w:eastAsia="Arial" w:cs="宋体"/>
                <w:lang w:eastAsia="en-US"/>
              </w:rPr>
              <w:t xml:space="preserve">评标地点</w:t>
            </w:r>
            <w:r>
              <w:rPr>
                <w:rFonts w:ascii="宋体" w:hAnsi="宋体" w:eastAsia="Arial" w:cs="宋体"/>
                <w:szCs w:val="20"/>
                <w:lang w:eastAsia="en-US"/>
              </w:rPr>
            </w:r>
            <w:r/>
          </w:p>
        </w:tc>
        <w:tc>
          <w:tcPr>
            <w:tcBorders>
              <w:top w:val="single" w:color="000000" w:sz="6" w:space="0"/>
              <w:left w:val="single" w:color="000000" w:sz="6" w:space="0"/>
              <w:bottom w:val="single" w:color="000000" w:sz="6" w:space="0"/>
              <w:right w:val="single" w:color="000000" w:sz="6" w:space="0"/>
            </w:tcBorders>
            <w:tcW w:w="7581" w:type="dxa"/>
            <w:vAlign w:val="center"/>
            <w:textDirection w:val="lrTb"/>
            <w:noWrap/>
          </w:tcPr>
          <w:p>
            <w:pPr>
              <w:pStyle w:val="1011"/>
              <w:spacing w:line="440" w:lineRule="exact"/>
              <w:rPr>
                <w:rFonts w:ascii="宋体" w:hAnsi="宋体" w:eastAsia="Arial" w:cs="宋体"/>
              </w:rPr>
            </w:pPr>
            <w:r>
              <w:rPr>
                <w:rFonts w:hint="eastAsia" w:ascii="宋体" w:hAnsi="宋体" w:eastAsia="Arial" w:cs="宋体"/>
              </w:rPr>
              <w:t xml:space="preserve">2025年12月24日13:30（北京时间）</w:t>
            </w:r>
            <w:r>
              <w:rPr>
                <w:rFonts w:ascii="宋体" w:hAnsi="宋体" w:eastAsia="Arial" w:cs="宋体"/>
              </w:rPr>
            </w:r>
            <w:r/>
          </w:p>
          <w:p>
            <w:pPr>
              <w:pStyle w:val="1011"/>
              <w:spacing w:line="312" w:lineRule="auto"/>
              <w:rPr>
                <w:rFonts w:ascii="宋体" w:hAnsi="宋体" w:eastAsia="Arial" w:cs="宋体"/>
              </w:rPr>
            </w:pPr>
            <w:r>
              <w:rPr>
                <w:rFonts w:hint="eastAsia" w:ascii="宋体" w:hAnsi="宋体" w:eastAsia="Arial" w:cs="宋体"/>
              </w:rPr>
              <w:t xml:space="preserve">苏州市吴江区公共资源交易中心三楼评标室</w:t>
            </w:r>
            <w:r>
              <w:rPr>
                <w:rFonts w:ascii="宋体" w:hAnsi="宋体" w:eastAsia="Arial" w:cs="宋体"/>
              </w:rPr>
            </w:r>
            <w:r/>
          </w:p>
        </w:tc>
      </w:tr>
      <w:tr>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tcPr>
          <w:p>
            <w:pPr>
              <w:pStyle w:val="1011"/>
              <w:jc w:val="center"/>
              <w:spacing w:line="360" w:lineRule="auto"/>
              <w:rPr>
                <w:rFonts w:ascii="宋体" w:hAnsi="宋体" w:eastAsia="Arial" w:cs="宋体"/>
                <w:lang w:eastAsia="en-US"/>
              </w:rPr>
            </w:pPr>
            <w:r>
              <w:rPr>
                <w:rFonts w:hint="eastAsia" w:ascii="宋体" w:hAnsi="宋体" w:eastAsia="Arial" w:cs="宋体"/>
                <w:lang w:eastAsia="en-US"/>
              </w:rPr>
              <w:t xml:space="preserve">12</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tcPr>
          <w:p>
            <w:pPr>
              <w:pStyle w:val="1011"/>
              <w:jc w:val="center"/>
              <w:spacing w:line="440" w:lineRule="exact"/>
              <w:rPr>
                <w:rFonts w:ascii="宋体" w:hAnsi="宋体" w:eastAsia="Arial" w:cs="宋体"/>
                <w:lang w:eastAsia="en-US"/>
              </w:rPr>
            </w:pPr>
            <w:r>
              <w:rPr>
                <w:rFonts w:hint="eastAsia" w:ascii="宋体" w:hAnsi="宋体" w:eastAsia="Arial" w:cs="宋体"/>
                <w:lang w:eastAsia="en-US"/>
              </w:rPr>
              <w:t xml:space="preserve">投标文件份数</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7581" w:type="dxa"/>
            <w:vAlign w:val="center"/>
            <w:textDirection w:val="lrTb"/>
            <w:noWrap/>
          </w:tcPr>
          <w:p>
            <w:pPr>
              <w:pStyle w:val="1011"/>
              <w:spacing w:line="360" w:lineRule="auto"/>
              <w:rPr>
                <w:rFonts w:ascii="宋体" w:hAnsi="宋体" w:eastAsia="Arial" w:cs="宋体"/>
              </w:rPr>
            </w:pPr>
            <w:r>
              <w:rPr>
                <w:rFonts w:hint="eastAsia" w:ascii="宋体" w:hAnsi="宋体" w:eastAsia="Arial" w:cs="宋体"/>
              </w:rPr>
              <w:t xml:space="preserve">本项目采用电子投标文件，投标人按照招标文件要求制作上传电子投标文件，投标人无需提供纸质投标文件。</w:t>
            </w:r>
            <w:r>
              <w:rPr>
                <w:rFonts w:ascii="宋体" w:hAnsi="宋体" w:eastAsia="Arial" w:cs="宋体"/>
              </w:rPr>
            </w:r>
            <w:r/>
          </w:p>
          <w:p>
            <w:pPr>
              <w:pStyle w:val="1011"/>
              <w:spacing w:line="360" w:lineRule="auto"/>
              <w:rPr>
                <w:rFonts w:ascii="宋体" w:hAnsi="宋体" w:eastAsia="Arial" w:cs="宋体"/>
              </w:rPr>
            </w:pPr>
            <w:r>
              <w:rPr>
                <w:rFonts w:hint="eastAsia" w:ascii="宋体" w:hAnsi="宋体" w:eastAsia="Arial" w:cs="宋体"/>
              </w:rPr>
              <w:t xml:space="preserve">中标后5个工作日内，中标单位向招标代理机构提供与电子投标文件内容一致的纸质投标文件四份。</w:t>
            </w:r>
            <w:r>
              <w:rPr>
                <w:rFonts w:ascii="宋体" w:hAnsi="宋体" w:eastAsia="Arial" w:cs="宋体"/>
              </w:rPr>
            </w:r>
            <w:r/>
          </w:p>
        </w:tc>
      </w:tr>
      <w:tr>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tcPr>
          <w:p>
            <w:pPr>
              <w:pStyle w:val="1011"/>
              <w:jc w:val="center"/>
              <w:spacing w:line="440" w:lineRule="exact"/>
              <w:rPr>
                <w:rFonts w:ascii="宋体" w:hAnsi="宋体" w:eastAsia="Arial" w:cs="宋体"/>
                <w:lang w:eastAsia="en-US"/>
              </w:rPr>
            </w:pPr>
            <w:r>
              <w:rPr>
                <w:rFonts w:hint="eastAsia" w:ascii="宋体" w:hAnsi="宋体" w:eastAsia="Arial" w:cs="宋体"/>
                <w:lang w:eastAsia="en-US"/>
              </w:rPr>
              <w:t xml:space="preserve">13</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tcPr>
          <w:p>
            <w:pPr>
              <w:pStyle w:val="1011"/>
              <w:jc w:val="center"/>
              <w:spacing w:line="440" w:lineRule="exact"/>
              <w:rPr>
                <w:rFonts w:ascii="宋体" w:hAnsi="宋体" w:eastAsia="Arial" w:cs="宋体"/>
                <w:lang w:eastAsia="en-US"/>
              </w:rPr>
            </w:pPr>
            <w:r>
              <w:rPr>
                <w:rFonts w:hint="eastAsia" w:ascii="宋体" w:hAnsi="宋体" w:eastAsia="Arial" w:cs="宋体"/>
                <w:lang w:eastAsia="en-US"/>
              </w:rPr>
              <w:t xml:space="preserve">投标报价本位币</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7581" w:type="dxa"/>
            <w:vAlign w:val="center"/>
            <w:textDirection w:val="lrTb"/>
            <w:noWrap/>
          </w:tcPr>
          <w:p>
            <w:pPr>
              <w:pStyle w:val="1011"/>
              <w:spacing w:line="440" w:lineRule="exact"/>
              <w:rPr>
                <w:rFonts w:ascii="宋体" w:hAnsi="宋体" w:eastAsia="Arial" w:cs="宋体"/>
                <w:lang w:eastAsia="en-US"/>
              </w:rPr>
            </w:pPr>
            <w:r>
              <w:rPr>
                <w:rFonts w:hint="eastAsia" w:ascii="宋体" w:hAnsi="宋体" w:eastAsia="Arial" w:cs="宋体"/>
                <w:lang w:eastAsia="en-US"/>
              </w:rPr>
              <w:t xml:space="preserve">人民币</w:t>
            </w:r>
            <w:r>
              <w:rPr>
                <w:rFonts w:ascii="宋体" w:hAnsi="宋体" w:eastAsia="Arial" w:cs="宋体"/>
                <w:lang w:eastAsia="en-US"/>
              </w:rPr>
            </w:r>
            <w:r/>
          </w:p>
        </w:tc>
      </w:tr>
      <w:tr>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tcPr>
          <w:p>
            <w:pPr>
              <w:pStyle w:val="1011"/>
              <w:jc w:val="center"/>
              <w:spacing w:line="440" w:lineRule="exact"/>
              <w:rPr>
                <w:rFonts w:ascii="宋体" w:hAnsi="宋体" w:eastAsia="Arial" w:cs="宋体"/>
                <w:lang w:eastAsia="en-US"/>
              </w:rPr>
            </w:pPr>
            <w:r>
              <w:rPr>
                <w:rFonts w:hint="eastAsia" w:ascii="宋体" w:hAnsi="宋体" w:eastAsia="Arial" w:cs="宋体"/>
                <w:lang w:eastAsia="en-US"/>
              </w:rPr>
              <w:t xml:space="preserve">14</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tcPr>
          <w:p>
            <w:pPr>
              <w:pStyle w:val="1011"/>
              <w:jc w:val="center"/>
              <w:spacing w:line="440" w:lineRule="exact"/>
              <w:rPr>
                <w:rFonts w:ascii="宋体" w:hAnsi="宋体" w:eastAsia="Arial" w:cs="宋体"/>
                <w:lang w:eastAsia="en-US"/>
              </w:rPr>
            </w:pPr>
            <w:r>
              <w:rPr>
                <w:rFonts w:hint="eastAsia" w:eastAsia="Arial"/>
                <w:color w:val="000000"/>
                <w:spacing w:val="-2"/>
                <w:lang w:eastAsia="en-US"/>
              </w:rPr>
              <w:t xml:space="preserve">联合体投标</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7581" w:type="dxa"/>
            <w:vAlign w:val="center"/>
            <w:textDirection w:val="lrTb"/>
            <w:noWrap/>
          </w:tcPr>
          <w:p>
            <w:pPr>
              <w:pStyle w:val="1011"/>
              <w:spacing w:line="360" w:lineRule="auto"/>
              <w:rPr>
                <w:rFonts w:eastAsia="Arial"/>
                <w:color w:val="000000"/>
                <w:spacing w:val="-2"/>
              </w:rPr>
            </w:pPr>
            <w:r>
              <w:rPr>
                <w:rFonts w:eastAsia="Arial"/>
                <w:color w:val="000000"/>
                <w:spacing w:val="-2"/>
              </w:rPr>
            </w:r>
            <w:r/>
          </w:p>
          <w:p>
            <w:pPr>
              <w:pStyle w:val="1011"/>
              <w:spacing w:line="360" w:lineRule="auto"/>
              <w:rPr>
                <w:rFonts w:ascii="宋体" w:hAnsi="宋体" w:eastAsia="Arial" w:cs="宋体"/>
              </w:rPr>
            </w:pPr>
            <w:r>
              <w:rPr>
                <w:rFonts w:hint="eastAsia" w:eastAsia="Arial"/>
                <w:color w:val="000000"/>
                <w:spacing w:val="-2"/>
                <w:lang w:eastAsia="en-US"/>
              </w:rPr>
              <w:t xml:space="preserve">不接受</w:t>
            </w:r>
            <w:r>
              <w:rPr>
                <w:rFonts w:ascii="宋体" w:hAnsi="宋体" w:eastAsia="Arial" w:cs="宋体"/>
              </w:rPr>
            </w:r>
            <w:r/>
          </w:p>
        </w:tc>
      </w:tr>
      <w:tr>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tcPr>
          <w:p>
            <w:pPr>
              <w:pStyle w:val="1011"/>
              <w:jc w:val="center"/>
              <w:spacing w:line="440" w:lineRule="exact"/>
              <w:rPr>
                <w:rFonts w:ascii="宋体" w:hAnsi="宋体" w:eastAsia="Arial" w:cs="宋体"/>
                <w:lang w:eastAsia="en-US"/>
              </w:rPr>
            </w:pPr>
            <w:r>
              <w:rPr>
                <w:rFonts w:hint="eastAsia" w:ascii="宋体" w:hAnsi="宋体" w:eastAsia="Arial" w:cs="宋体"/>
                <w:lang w:eastAsia="en-US"/>
              </w:rPr>
              <w:t xml:space="preserve">15</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tcPr>
          <w:p>
            <w:pPr>
              <w:pStyle w:val="1011"/>
              <w:jc w:val="center"/>
              <w:spacing w:line="440" w:lineRule="exact"/>
              <w:rPr>
                <w:rFonts w:ascii="宋体" w:hAnsi="宋体" w:eastAsia="Arial" w:cs="宋体"/>
                <w:lang w:eastAsia="en-US"/>
              </w:rPr>
            </w:pPr>
            <w:r>
              <w:rPr>
                <w:rFonts w:hint="eastAsia" w:eastAsia="Arial"/>
                <w:color w:val="000000"/>
                <w:spacing w:val="-2"/>
                <w:lang w:eastAsia="en-US"/>
              </w:rPr>
              <w:t xml:space="preserve">现场勘察</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7581" w:type="dxa"/>
            <w:vAlign w:val="center"/>
            <w:textDirection w:val="lrTb"/>
            <w:noWrap/>
          </w:tcPr>
          <w:p>
            <w:pPr>
              <w:pStyle w:val="1216"/>
              <w:ind w:firstLine="0"/>
              <w:spacing w:line="440" w:lineRule="exact"/>
              <w:rPr>
                <w:rFonts w:ascii="宋体" w:hAnsi="宋体" w:cs="宋体"/>
              </w:rPr>
            </w:pPr>
            <w:r>
              <w:rPr>
                <w:spacing w:val="-1"/>
              </w:rPr>
              <w:t xml:space="preserve">采购人不组织，供应商如有需要可自行勘察，勘察现场所发生的</w:t>
            </w:r>
            <w:r>
              <w:rPr>
                <w:spacing w:val="-2"/>
              </w:rPr>
              <w:t xml:space="preserve">费用由</w:t>
            </w:r>
            <w:r>
              <w:rPr>
                <w:spacing w:val="-1"/>
              </w:rPr>
              <w:t xml:space="preserve">供应商自行承担。</w:t>
            </w:r>
            <w:r>
              <w:rPr>
                <w:rFonts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tcPr>
          <w:p>
            <w:pPr>
              <w:pStyle w:val="1011"/>
              <w:jc w:val="center"/>
              <w:spacing w:line="360" w:lineRule="auto"/>
              <w:rPr>
                <w:rFonts w:ascii="宋体" w:hAnsi="宋体" w:eastAsia="Arial" w:cs="宋体"/>
                <w:lang w:eastAsia="en-US"/>
              </w:rPr>
            </w:pPr>
            <w:r>
              <w:rPr>
                <w:rFonts w:hint="eastAsia" w:ascii="宋体" w:hAnsi="宋体" w:eastAsia="Arial" w:cs="宋体"/>
                <w:lang w:eastAsia="en-US"/>
              </w:rPr>
              <w:t xml:space="preserve">16</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tcPr>
          <w:p>
            <w:pPr>
              <w:pStyle w:val="1011"/>
              <w:jc w:val="center"/>
              <w:spacing w:line="360" w:lineRule="auto"/>
              <w:rPr>
                <w:rFonts w:ascii="宋体" w:hAnsi="宋体" w:eastAsia="Arial" w:cs="宋体"/>
                <w:lang w:eastAsia="en-US"/>
              </w:rPr>
            </w:pPr>
            <w:r>
              <w:rPr>
                <w:rFonts w:hint="eastAsia" w:ascii="宋体" w:hAnsi="宋体" w:eastAsia="Arial" w:cs="宋体"/>
                <w:lang w:eastAsia="en-US"/>
              </w:rPr>
              <w:t xml:space="preserve">中标服务费</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7581" w:type="dxa"/>
            <w:vAlign w:val="center"/>
            <w:textDirection w:val="lrTb"/>
            <w:noWrap/>
          </w:tcPr>
          <w:p>
            <w:pPr>
              <w:pStyle w:val="1011"/>
              <w:spacing w:line="360" w:lineRule="auto"/>
              <w:rPr>
                <w:rFonts w:eastAsia="Arial"/>
                <w:color w:val="000000"/>
                <w:spacing w:val="-4"/>
              </w:rPr>
            </w:pPr>
            <w:r>
              <w:rPr>
                <w:rFonts w:hint="eastAsia" w:eastAsia="Arial"/>
                <w:color w:val="000000"/>
                <w:spacing w:val="-1"/>
              </w:rPr>
              <w:t xml:space="preserve">招标代理服务费以采购预算金额为基数依据，按如下规定的</w:t>
            </w:r>
            <w:r>
              <w:rPr>
                <w:rFonts w:hint="eastAsia" w:eastAsia="Arial"/>
                <w:color w:val="000000"/>
                <w:spacing w:val="-2"/>
              </w:rPr>
              <w:t xml:space="preserve">标准和差额</w:t>
            </w:r>
            <w:r>
              <w:rPr>
                <w:rFonts w:hint="eastAsia" w:eastAsia="Arial"/>
                <w:color w:val="000000"/>
                <w:spacing w:val="-4"/>
              </w:rPr>
              <w:t xml:space="preserve">定率累进法进行计算收取：预算金额</w:t>
            </w:r>
            <w:r>
              <w:rPr>
                <w:rFonts w:eastAsia="Arial"/>
                <w:color w:val="000000"/>
                <w:spacing w:val="-4"/>
              </w:rPr>
              <w:t xml:space="preserve">100</w:t>
            </w:r>
            <w:r>
              <w:rPr>
                <w:rFonts w:hint="eastAsia" w:eastAsia="Arial"/>
                <w:color w:val="000000"/>
                <w:spacing w:val="-4"/>
              </w:rPr>
              <w:t xml:space="preserve">万元（含）以下部分，费率为</w:t>
            </w:r>
            <w:r>
              <w:rPr>
                <w:rFonts w:hint="eastAsia" w:eastAsia="Arial"/>
                <w:color w:val="000000"/>
                <w:spacing w:val="-3"/>
              </w:rPr>
              <w:t xml:space="preserve">该部分预算金额的</w:t>
            </w:r>
            <w:r>
              <w:rPr>
                <w:rFonts w:eastAsia="Arial"/>
                <w:color w:val="000000"/>
                <w:spacing w:val="-3"/>
              </w:rPr>
              <w:t xml:space="preserve">1.5%</w:t>
            </w:r>
            <w:r>
              <w:rPr>
                <w:rFonts w:hint="eastAsia" w:eastAsia="Arial"/>
                <w:color w:val="000000"/>
                <w:spacing w:val="-3"/>
              </w:rPr>
              <w:t xml:space="preserve">；预算金额</w:t>
            </w:r>
            <w:r>
              <w:rPr>
                <w:rFonts w:eastAsia="Arial"/>
                <w:color w:val="000000"/>
                <w:spacing w:val="-3"/>
              </w:rPr>
              <w:t xml:space="preserve">100</w:t>
            </w:r>
            <w:r>
              <w:rPr>
                <w:rFonts w:hint="eastAsia" w:eastAsia="Arial"/>
                <w:color w:val="000000"/>
                <w:spacing w:val="-3"/>
              </w:rPr>
              <w:t xml:space="preserve">万元－</w:t>
            </w:r>
            <w:r>
              <w:rPr>
                <w:rFonts w:eastAsia="Arial"/>
                <w:color w:val="000000"/>
                <w:spacing w:val="-3"/>
              </w:rPr>
              <w:t xml:space="preserve">500</w:t>
            </w:r>
            <w:r>
              <w:rPr>
                <w:rFonts w:hint="eastAsia" w:eastAsia="Arial"/>
                <w:color w:val="000000"/>
                <w:spacing w:val="-3"/>
              </w:rPr>
              <w:t xml:space="preserve">万元（</w:t>
            </w:r>
            <w:r>
              <w:rPr>
                <w:rFonts w:hint="eastAsia" w:eastAsia="Arial"/>
                <w:color w:val="000000"/>
                <w:spacing w:val="-4"/>
              </w:rPr>
              <w:t xml:space="preserve">含）部分，费率为该部分预算金额的</w:t>
            </w:r>
            <w:r>
              <w:rPr>
                <w:rFonts w:eastAsia="Arial"/>
                <w:color w:val="000000"/>
                <w:spacing w:val="-4"/>
              </w:rPr>
              <w:t xml:space="preserve">1.1%</w:t>
            </w:r>
            <w:r>
              <w:rPr>
                <w:rFonts w:hint="eastAsia" w:eastAsia="Arial"/>
                <w:color w:val="000000"/>
                <w:spacing w:val="-4"/>
              </w:rPr>
              <w:t xml:space="preserve">，</w:t>
            </w:r>
            <w:r>
              <w:rPr>
                <w:rFonts w:hint="eastAsia" w:eastAsia="Arial"/>
                <w:color w:val="000000"/>
                <w:spacing w:val="-3"/>
              </w:rPr>
              <w:t xml:space="preserve">预算金额</w:t>
            </w:r>
            <w:r>
              <w:rPr>
                <w:rFonts w:eastAsia="Arial"/>
                <w:color w:val="000000"/>
                <w:spacing w:val="-4"/>
              </w:rPr>
              <w:t xml:space="preserve">500~1000</w:t>
            </w:r>
            <w:r>
              <w:rPr>
                <w:rFonts w:hint="eastAsia" w:eastAsia="Arial"/>
                <w:color w:val="000000"/>
                <w:spacing w:val="-4"/>
              </w:rPr>
              <w:t xml:space="preserve">万元（含）部分，费率为该部分预算金额的</w:t>
            </w:r>
            <w:r>
              <w:rPr>
                <w:rFonts w:eastAsia="Arial"/>
                <w:color w:val="000000"/>
                <w:spacing w:val="-4"/>
              </w:rPr>
              <w:t xml:space="preserve">0.8%</w:t>
            </w:r>
            <w:r>
              <w:rPr>
                <w:rFonts w:hint="eastAsia" w:eastAsia="Arial"/>
                <w:color w:val="000000"/>
                <w:spacing w:val="-4"/>
              </w:rPr>
              <w:t xml:space="preserve">，；本项目招标代理服务费为</w:t>
            </w:r>
            <w:r>
              <w:rPr>
                <w:rFonts w:hint="eastAsia"/>
                <w:color w:val="000000"/>
                <w:spacing w:val="-4"/>
              </w:rPr>
              <w:t xml:space="preserve">67000</w:t>
            </w:r>
            <w:r>
              <w:rPr>
                <w:rFonts w:hint="eastAsia" w:eastAsia="Arial"/>
                <w:color w:val="000000"/>
                <w:spacing w:val="-4"/>
              </w:rPr>
              <w:t xml:space="preserve">元，由中</w:t>
            </w:r>
            <w:r>
              <w:rPr>
                <w:rFonts w:hint="eastAsia" w:eastAsia="Arial"/>
                <w:color w:val="000000"/>
                <w:spacing w:val="-1"/>
              </w:rPr>
              <w:t xml:space="preserve">标或成交供应商在领取中标通知书时向招标代理机构一次性</w:t>
            </w:r>
            <w:r>
              <w:rPr>
                <w:rFonts w:hint="eastAsia" w:eastAsia="Arial"/>
                <w:color w:val="000000"/>
                <w:spacing w:val="-2"/>
              </w:rPr>
              <w:t xml:space="preserve">付清。（此</w:t>
            </w:r>
            <w:r>
              <w:rPr>
                <w:rFonts w:hint="eastAsia" w:eastAsia="Arial"/>
                <w:color w:val="000000"/>
              </w:rPr>
              <w:t xml:space="preserve">招标代理服务费包含在投标报价中，采购人无需支付</w:t>
            </w:r>
            <w:r>
              <w:rPr>
                <w:rFonts w:hint="eastAsia" w:eastAsia="Arial"/>
                <w:color w:val="000000"/>
                <w:spacing w:val="-1"/>
              </w:rPr>
              <w:t xml:space="preserve">任何费用）</w:t>
            </w:r>
            <w:r>
              <w:rPr>
                <w:rFonts w:eastAsia="Arial"/>
                <w:color w:val="000000"/>
                <w:spacing w:val="-4"/>
              </w:rPr>
            </w:r>
            <w:r/>
          </w:p>
        </w:tc>
      </w:tr>
      <w:tr>
        <w:trPr>
          <w:trHeight w:val="453"/>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tcPr>
          <w:p>
            <w:pPr>
              <w:pStyle w:val="1011"/>
              <w:jc w:val="center"/>
              <w:spacing w:line="360" w:lineRule="auto"/>
              <w:rPr>
                <w:rFonts w:ascii="宋体" w:hAnsi="宋体" w:eastAsia="Arial" w:cs="宋体"/>
                <w:lang w:eastAsia="en-US"/>
              </w:rPr>
            </w:pPr>
            <w:r>
              <w:rPr>
                <w:rFonts w:hint="eastAsia" w:ascii="宋体" w:hAnsi="宋体" w:eastAsia="Arial" w:cs="宋体"/>
                <w:lang w:eastAsia="en-US"/>
              </w:rPr>
              <w:t xml:space="preserve">17</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tcPr>
          <w:p>
            <w:pPr>
              <w:pStyle w:val="1011"/>
              <w:jc w:val="center"/>
              <w:spacing w:line="360" w:lineRule="auto"/>
              <w:rPr>
                <w:rFonts w:ascii="宋体" w:hAnsi="宋体" w:eastAsia="Arial" w:cs="宋体"/>
                <w:lang w:eastAsia="en-US"/>
              </w:rPr>
            </w:pPr>
            <w:r>
              <w:rPr>
                <w:rFonts w:hint="eastAsia" w:ascii="宋体" w:hAnsi="宋体" w:eastAsia="Arial" w:cs="宋体"/>
                <w:lang w:eastAsia="en-US"/>
              </w:rPr>
              <w:t xml:space="preserve">评分标准</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7581" w:type="dxa"/>
            <w:vAlign w:val="center"/>
            <w:textDirection w:val="lrTb"/>
            <w:noWrap/>
          </w:tcPr>
          <w:p>
            <w:pPr>
              <w:pStyle w:val="1011"/>
              <w:spacing w:line="360" w:lineRule="auto"/>
              <w:rPr>
                <w:rFonts w:ascii="宋体" w:hAnsi="宋体" w:eastAsia="Arial" w:cs="宋体"/>
                <w:lang w:eastAsia="en-US"/>
              </w:rPr>
            </w:pPr>
            <w:r>
              <w:rPr>
                <w:rFonts w:hint="eastAsia" w:ascii="宋体" w:hAnsi="宋体" w:eastAsia="Arial" w:cs="宋体"/>
                <w:lang w:eastAsia="en-US"/>
              </w:rPr>
              <w:t xml:space="preserve">按招标文件。</w:t>
            </w:r>
            <w:r>
              <w:rPr>
                <w:rFonts w:ascii="宋体" w:hAnsi="宋体" w:eastAsia="Arial" w:cs="宋体"/>
                <w:lang w:eastAsia="en-US"/>
              </w:rPr>
            </w:r>
            <w:r/>
          </w:p>
        </w:tc>
      </w:tr>
      <w:tr>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tcPr>
          <w:p>
            <w:pPr>
              <w:pStyle w:val="1011"/>
              <w:jc w:val="center"/>
              <w:spacing w:line="360" w:lineRule="auto"/>
              <w:rPr>
                <w:rFonts w:ascii="宋体" w:hAnsi="宋体" w:eastAsia="Arial" w:cs="宋体"/>
                <w:lang w:eastAsia="en-US"/>
              </w:rPr>
            </w:pPr>
            <w:r>
              <w:rPr>
                <w:rFonts w:hint="eastAsia" w:ascii="宋体" w:hAnsi="宋体" w:eastAsia="Arial" w:cs="宋体"/>
                <w:lang w:eastAsia="en-US"/>
              </w:rPr>
              <w:t xml:space="preserve">18</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tcPr>
          <w:p>
            <w:pPr>
              <w:pStyle w:val="1011"/>
              <w:jc w:val="center"/>
              <w:spacing w:line="360" w:lineRule="auto"/>
              <w:rPr>
                <w:rFonts w:ascii="宋体" w:hAnsi="宋体" w:eastAsia="Arial" w:cs="宋体"/>
                <w:lang w:eastAsia="en-US"/>
              </w:rPr>
            </w:pPr>
            <w:r>
              <w:rPr>
                <w:rFonts w:hint="eastAsia" w:ascii="宋体" w:hAnsi="宋体" w:eastAsia="Arial" w:cs="宋体"/>
                <w:lang w:eastAsia="en-US"/>
              </w:rPr>
              <w:t xml:space="preserve">评标方法</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7581" w:type="dxa"/>
            <w:vAlign w:val="center"/>
            <w:textDirection w:val="lrTb"/>
            <w:noWrap/>
          </w:tcPr>
          <w:p>
            <w:pPr>
              <w:pStyle w:val="1011"/>
              <w:spacing w:line="360" w:lineRule="auto"/>
              <w:rPr>
                <w:rFonts w:ascii="宋体" w:hAnsi="宋体" w:eastAsia="Arial" w:cs="宋体"/>
              </w:rPr>
            </w:pPr>
            <w:r>
              <w:rPr>
                <w:rFonts w:hint="eastAsia" w:ascii="宋体" w:hAnsi="宋体" w:eastAsia="Arial" w:cs="宋体"/>
              </w:rPr>
              <w:t xml:space="preserve">用综合评分方法得分最高的投标单位为中标单位。</w:t>
            </w:r>
            <w:r>
              <w:rPr>
                <w:rFonts w:ascii="宋体" w:hAnsi="宋体" w:eastAsia="Arial" w:cs="宋体"/>
              </w:rPr>
            </w:r>
            <w:r/>
          </w:p>
        </w:tc>
      </w:tr>
      <w:tr>
        <w:trPr>
          <w:trHeight w:val="522"/>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tcPr>
          <w:p>
            <w:pPr>
              <w:pStyle w:val="1011"/>
              <w:jc w:val="center"/>
              <w:spacing w:line="360" w:lineRule="auto"/>
              <w:rPr>
                <w:rFonts w:ascii="宋体" w:hAnsi="宋体" w:eastAsia="Arial" w:cs="宋体"/>
                <w:lang w:eastAsia="en-US"/>
              </w:rPr>
            </w:pPr>
            <w:r>
              <w:rPr>
                <w:rFonts w:hint="eastAsia" w:ascii="宋体" w:hAnsi="宋体" w:eastAsia="Arial" w:cs="宋体"/>
                <w:lang w:eastAsia="en-US"/>
              </w:rPr>
              <w:t xml:space="preserve">19</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tcPr>
          <w:p>
            <w:pPr>
              <w:pStyle w:val="1011"/>
              <w:jc w:val="center"/>
              <w:spacing w:line="360" w:lineRule="auto"/>
              <w:rPr>
                <w:rFonts w:ascii="宋体" w:hAnsi="宋体" w:eastAsia="Arial" w:cs="宋体"/>
                <w:lang w:eastAsia="en-US"/>
              </w:rPr>
            </w:pPr>
            <w:r>
              <w:rPr>
                <w:rFonts w:hint="eastAsia" w:ascii="宋体" w:hAnsi="宋体" w:eastAsia="Arial" w:cs="宋体"/>
                <w:lang w:eastAsia="en-US"/>
              </w:rPr>
              <w:t xml:space="preserve">相关账号</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7581" w:type="dxa"/>
            <w:vAlign w:val="center"/>
            <w:textDirection w:val="lrTb"/>
            <w:noWrap/>
          </w:tcPr>
          <w:p>
            <w:pPr>
              <w:pStyle w:val="1011"/>
              <w:spacing w:line="360" w:lineRule="auto"/>
              <w:rPr>
                <w:rFonts w:ascii="宋体" w:hAnsi="宋体" w:eastAsia="Arial" w:cs="宋体"/>
              </w:rPr>
            </w:pPr>
            <w:r/>
            <w:bookmarkStart w:id="10" w:name="OLE_LINK10"/>
            <w:r>
              <w:rPr>
                <w:rFonts w:hint="eastAsia" w:ascii="宋体" w:hAnsi="宋体" w:eastAsia="Arial" w:cs="宋体"/>
              </w:rPr>
              <w:t xml:space="preserve">中标服务费交纳帐号：</w:t>
            </w:r>
            <w:r>
              <w:rPr>
                <w:rFonts w:ascii="宋体" w:hAnsi="宋体" w:eastAsia="Arial" w:cs="宋体"/>
              </w:rPr>
            </w:r>
            <w:r/>
          </w:p>
          <w:p>
            <w:pPr>
              <w:pStyle w:val="1011"/>
              <w:spacing w:line="360" w:lineRule="auto"/>
              <w:rPr>
                <w:rFonts w:ascii="宋体" w:hAnsi="宋体" w:eastAsia="Arial" w:cs="宋体"/>
              </w:rPr>
            </w:pPr>
            <w:r/>
            <w:bookmarkStart w:id="11" w:name="OLE_LINK64"/>
            <w:r/>
            <w:bookmarkStart w:id="12" w:name="OLE_LINK65"/>
            <w:r>
              <w:rPr>
                <w:rFonts w:hint="eastAsia" w:ascii="宋体" w:hAnsi="宋体" w:eastAsia="Arial" w:cs="宋体"/>
              </w:rPr>
              <w:t xml:space="preserve">账户名：苏州常发工程咨询有限公司</w:t>
            </w:r>
            <w:r>
              <w:rPr>
                <w:rFonts w:ascii="宋体" w:hAnsi="宋体" w:eastAsia="Arial" w:cs="宋体"/>
              </w:rPr>
            </w:r>
            <w:r/>
          </w:p>
          <w:p>
            <w:pPr>
              <w:pStyle w:val="1011"/>
              <w:spacing w:line="312" w:lineRule="auto"/>
              <w:rPr>
                <w:rFonts w:ascii="宋体" w:hAnsi="宋体" w:eastAsia="Arial" w:cs="宋体"/>
              </w:rPr>
            </w:pPr>
            <w:r>
              <w:rPr>
                <w:rFonts w:hint="eastAsia" w:ascii="宋体" w:hAnsi="宋体" w:eastAsia="Arial" w:cs="宋体"/>
              </w:rPr>
              <w:t xml:space="preserve">账号：536560180118</w:t>
            </w:r>
            <w:r>
              <w:rPr>
                <w:rFonts w:ascii="宋体" w:hAnsi="宋体" w:eastAsia="Arial" w:cs="宋体"/>
              </w:rPr>
            </w:r>
            <w:r/>
          </w:p>
          <w:p>
            <w:pPr>
              <w:pStyle w:val="1011"/>
              <w:spacing w:line="360" w:lineRule="auto"/>
              <w:rPr>
                <w:rFonts w:ascii="宋体" w:hAnsi="宋体" w:eastAsia="Arial" w:cs="宋体"/>
              </w:rPr>
            </w:pPr>
            <w:r>
              <w:rPr>
                <w:rFonts w:hint="eastAsia" w:ascii="宋体" w:hAnsi="宋体" w:eastAsia="Arial" w:cs="宋体"/>
              </w:rPr>
              <w:t xml:space="preserve">开户行：中国银行股份有限公司苏州吴中经济技术开发区支行</w:t>
            </w:r>
            <w:r>
              <w:rPr>
                <w:rFonts w:ascii="宋体" w:hAnsi="宋体" w:eastAsia="Arial" w:cs="宋体"/>
              </w:rPr>
            </w:r>
            <w:r/>
          </w:p>
          <w:p>
            <w:pPr>
              <w:pStyle w:val="1011"/>
              <w:spacing w:line="360" w:lineRule="auto"/>
              <w:rPr>
                <w:rFonts w:ascii="宋体" w:hAnsi="宋体" w:eastAsia="Arial" w:cs="宋体"/>
                <w:lang w:val="zh-CN"/>
              </w:rPr>
            </w:pPr>
            <w:r>
              <w:rPr>
                <w:rFonts w:hint="eastAsia" w:ascii="宋体" w:hAnsi="宋体" w:eastAsia="Arial" w:cs="宋体"/>
                <w:color w:val="000000"/>
              </w:rPr>
              <w:t xml:space="preserve">注：汇款单上需注明投标单位名称、标号、金额</w:t>
            </w:r>
            <w:bookmarkEnd w:id="10"/>
            <w:r/>
            <w:bookmarkEnd w:id="11"/>
            <w:r/>
            <w:bookmarkEnd w:id="12"/>
            <w:r>
              <w:rPr>
                <w:rFonts w:ascii="宋体" w:hAnsi="宋体" w:eastAsia="Arial" w:cs="宋体"/>
                <w:lang w:val="zh-CN"/>
              </w:rPr>
            </w:r>
            <w:r/>
          </w:p>
        </w:tc>
      </w:tr>
      <w:tr>
        <w:trPr>
          <w:trHeight w:val="522"/>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tcPr>
          <w:p>
            <w:pPr>
              <w:pStyle w:val="1011"/>
              <w:jc w:val="center"/>
              <w:spacing w:line="360" w:lineRule="auto"/>
              <w:rPr>
                <w:rFonts w:ascii="宋体" w:hAnsi="宋体" w:eastAsia="Arial" w:cs="宋体"/>
                <w:lang w:eastAsia="en-US"/>
              </w:rPr>
            </w:pPr>
            <w:r>
              <w:rPr>
                <w:rFonts w:hint="eastAsia" w:ascii="宋体" w:hAnsi="宋体" w:eastAsia="Arial" w:cs="宋体"/>
                <w:lang w:eastAsia="en-US"/>
              </w:rPr>
              <w:t xml:space="preserve">20</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tcPr>
          <w:p>
            <w:pPr>
              <w:pStyle w:val="1193"/>
              <w:ind w:left="0"/>
              <w:spacing w:line="360" w:lineRule="auto"/>
              <w:rPr>
                <w:rFonts w:ascii="宋体" w:hAnsi="宋体" w:eastAsia="Arial" w:cs="宋体"/>
                <w:sz w:val="21"/>
                <w:szCs w:val="21"/>
                <w:lang w:eastAsia="en-US"/>
              </w:rPr>
            </w:pPr>
            <w:r>
              <w:rPr>
                <w:rFonts w:hint="eastAsia" w:ascii="宋体" w:hAnsi="宋体" w:eastAsia="Arial" w:cs="宋体"/>
                <w:sz w:val="21"/>
                <w:szCs w:val="21"/>
                <w:lang w:eastAsia="en-US"/>
              </w:rPr>
              <w:t xml:space="preserve">导致无效</w:t>
            </w:r>
            <w:r>
              <w:rPr>
                <w:rFonts w:ascii="宋体" w:hAnsi="宋体" w:eastAsia="Arial" w:cs="宋体"/>
                <w:sz w:val="21"/>
                <w:szCs w:val="21"/>
                <w:lang w:eastAsia="en-US"/>
              </w:rPr>
            </w:r>
            <w:r/>
          </w:p>
          <w:p>
            <w:pPr>
              <w:pStyle w:val="1011"/>
              <w:spacing w:line="360" w:lineRule="auto"/>
              <w:rPr>
                <w:rFonts w:ascii="宋体" w:hAnsi="宋体" w:eastAsia="Arial" w:cs="宋体"/>
                <w:lang w:eastAsia="en-US"/>
              </w:rPr>
            </w:pPr>
            <w:r>
              <w:rPr>
                <w:rFonts w:hint="eastAsia" w:ascii="宋体" w:hAnsi="宋体" w:eastAsia="Arial" w:cs="宋体"/>
                <w:lang w:eastAsia="en-US"/>
              </w:rPr>
              <w:t xml:space="preserve">投标因素</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7581" w:type="dxa"/>
            <w:vAlign w:val="center"/>
            <w:textDirection w:val="lrTb"/>
            <w:noWrap/>
          </w:tcPr>
          <w:p>
            <w:pPr>
              <w:pStyle w:val="1011"/>
              <w:spacing w:line="360" w:lineRule="auto"/>
              <w:rPr>
                <w:rFonts w:ascii="宋体" w:hAnsi="宋体" w:eastAsia="Arial" w:cs="宋体"/>
                <w:b/>
              </w:rPr>
            </w:pPr>
            <w:r>
              <w:rPr>
                <w:rFonts w:hint="eastAsia" w:ascii="宋体" w:hAnsi="宋体" w:eastAsia="Arial" w:cs="宋体"/>
                <w:b/>
              </w:rPr>
              <w:t xml:space="preserve">投标人存在下列情况之一的，投标无效：</w:t>
            </w:r>
            <w:r>
              <w:rPr>
                <w:rFonts w:ascii="宋体" w:hAnsi="宋体" w:eastAsia="Arial" w:cs="宋体"/>
                <w:b/>
              </w:rPr>
            </w:r>
            <w:r/>
          </w:p>
          <w:p>
            <w:pPr>
              <w:pStyle w:val="1011"/>
              <w:spacing w:line="360" w:lineRule="auto"/>
              <w:rPr>
                <w:rFonts w:ascii="宋体" w:hAnsi="宋体" w:eastAsia="Arial" w:cs="宋体"/>
                <w:lang w:val="zh-CN"/>
              </w:rPr>
            </w:pPr>
            <w:r>
              <w:rPr>
                <w:rFonts w:hint="eastAsia" w:ascii="宋体" w:hAnsi="宋体" w:eastAsia="Arial" w:cs="宋体"/>
              </w:rPr>
              <w:t xml:space="preserve">1.</w:t>
            </w:r>
            <w:r>
              <w:rPr>
                <w:rFonts w:hint="eastAsia" w:ascii="宋体" w:hAnsi="宋体" w:eastAsia="Arial" w:cs="宋体"/>
                <w:lang w:val="zh-CN"/>
              </w:rPr>
              <w:t xml:space="preserve">投标文件未按招标文件要求签署、盖章的；</w:t>
            </w:r>
            <w:r>
              <w:rPr>
                <w:rFonts w:ascii="宋体" w:hAnsi="宋体" w:eastAsia="Arial" w:cs="宋体"/>
                <w:lang w:val="zh-CN"/>
              </w:rPr>
            </w:r>
            <w:r/>
          </w:p>
          <w:p>
            <w:pPr>
              <w:pStyle w:val="1011"/>
              <w:spacing w:line="360" w:lineRule="auto"/>
              <w:rPr>
                <w:rFonts w:ascii="宋体" w:hAnsi="宋体" w:eastAsia="Arial" w:cs="宋体"/>
                <w:lang w:val="zh-CN"/>
              </w:rPr>
            </w:pPr>
            <w:r>
              <w:rPr>
                <w:rFonts w:hint="eastAsia" w:ascii="宋体" w:hAnsi="宋体" w:eastAsia="Arial" w:cs="宋体"/>
              </w:rPr>
              <w:t xml:space="preserve">2.</w:t>
            </w:r>
            <w:r>
              <w:rPr>
                <w:rFonts w:hint="eastAsia" w:ascii="宋体" w:hAnsi="宋体" w:eastAsia="Arial" w:cs="宋体"/>
                <w:lang w:val="zh-CN"/>
              </w:rPr>
              <w:t xml:space="preserve">不具备招标文件中规定的资格要求的；</w:t>
            </w:r>
            <w:r>
              <w:rPr>
                <w:rFonts w:ascii="宋体" w:hAnsi="宋体" w:eastAsia="Arial" w:cs="宋体"/>
                <w:lang w:val="zh-CN"/>
              </w:rPr>
            </w:r>
            <w:r/>
          </w:p>
          <w:p>
            <w:pPr>
              <w:pStyle w:val="1011"/>
              <w:spacing w:line="360" w:lineRule="auto"/>
              <w:rPr>
                <w:rFonts w:ascii="宋体" w:hAnsi="宋体" w:eastAsia="Arial" w:cs="宋体"/>
                <w:lang w:val="zh-CN"/>
              </w:rPr>
            </w:pPr>
            <w:r>
              <w:rPr>
                <w:rFonts w:hint="eastAsia" w:ascii="宋体" w:hAnsi="宋体" w:eastAsia="Arial" w:cs="宋体"/>
              </w:rPr>
              <w:t xml:space="preserve">3.</w:t>
            </w:r>
            <w:r>
              <w:rPr>
                <w:rFonts w:hint="eastAsia" w:ascii="宋体" w:hAnsi="宋体" w:eastAsia="Arial" w:cs="宋体"/>
                <w:lang w:val="zh-CN"/>
              </w:rPr>
              <w:t xml:space="preserve">报价超过招标文件中规定的预算金额或者最高限价的；</w:t>
            </w:r>
            <w:r>
              <w:rPr>
                <w:rFonts w:ascii="宋体" w:hAnsi="宋体" w:eastAsia="Arial" w:cs="宋体"/>
                <w:lang w:val="zh-CN"/>
              </w:rPr>
            </w:r>
            <w:r/>
          </w:p>
          <w:p>
            <w:pPr>
              <w:pStyle w:val="1011"/>
              <w:spacing w:line="360" w:lineRule="auto"/>
              <w:rPr>
                <w:rFonts w:ascii="宋体" w:hAnsi="宋体" w:eastAsia="Arial" w:cs="宋体"/>
                <w:lang w:val="zh-CN"/>
              </w:rPr>
            </w:pPr>
            <w:r>
              <w:rPr>
                <w:rFonts w:hint="eastAsia" w:ascii="宋体" w:hAnsi="宋体" w:eastAsia="Arial" w:cs="宋体"/>
              </w:rPr>
              <w:t xml:space="preserve">4.</w:t>
            </w:r>
            <w:r>
              <w:rPr>
                <w:rFonts w:hint="eastAsia" w:ascii="宋体" w:hAnsi="宋体" w:eastAsia="Arial" w:cs="宋体"/>
                <w:lang w:val="zh-CN"/>
              </w:rPr>
              <w:t xml:space="preserve">投标文件含有采购单位不能接受的附加条件的；</w:t>
            </w:r>
            <w:r>
              <w:rPr>
                <w:rFonts w:ascii="宋体" w:hAnsi="宋体" w:eastAsia="Arial" w:cs="宋体"/>
                <w:lang w:val="zh-CN"/>
              </w:rPr>
            </w:r>
            <w:r/>
          </w:p>
          <w:p>
            <w:pPr>
              <w:pStyle w:val="1011"/>
              <w:spacing w:line="360" w:lineRule="auto"/>
              <w:rPr>
                <w:rFonts w:ascii="宋体" w:hAnsi="宋体" w:eastAsia="Arial" w:cs="宋体"/>
              </w:rPr>
            </w:pPr>
            <w:r>
              <w:rPr>
                <w:rFonts w:hint="eastAsia" w:ascii="宋体" w:hAnsi="宋体" w:eastAsia="Arial" w:cs="宋体"/>
              </w:rPr>
              <w:t xml:space="preserve">5.不同投标（响应）文件制作机器码一致的；</w:t>
            </w:r>
            <w:r>
              <w:rPr>
                <w:rFonts w:ascii="宋体" w:hAnsi="宋体" w:eastAsia="Arial" w:cs="宋体"/>
              </w:rPr>
            </w:r>
            <w:r/>
          </w:p>
          <w:p>
            <w:pPr>
              <w:pStyle w:val="1011"/>
              <w:spacing w:line="360" w:lineRule="auto"/>
              <w:rPr>
                <w:rFonts w:ascii="宋体" w:hAnsi="宋体" w:eastAsia="Arial" w:cs="宋体"/>
              </w:rPr>
            </w:pPr>
            <w:r>
              <w:rPr>
                <w:rFonts w:hint="eastAsia" w:ascii="宋体" w:hAnsi="宋体" w:eastAsia="Arial" w:cs="宋体"/>
              </w:rPr>
              <w:t xml:space="preserve">6.</w:t>
            </w:r>
            <w:r>
              <w:rPr>
                <w:rFonts w:hint="eastAsia" w:ascii="宋体" w:hAnsi="宋体" w:eastAsia="Arial" w:cs="宋体"/>
                <w:lang w:val="zh-CN"/>
              </w:rPr>
              <w:t xml:space="preserve">法律、法规和招标文件规定的其他无效情形。</w:t>
            </w:r>
            <w:r>
              <w:rPr>
                <w:rFonts w:ascii="宋体" w:hAnsi="宋体" w:eastAsia="Arial" w:cs="宋体"/>
              </w:rPr>
            </w:r>
            <w:r/>
          </w:p>
        </w:tc>
      </w:tr>
      <w:tr>
        <w:trPr>
          <w:trHeight w:val="522"/>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tcPr>
          <w:p>
            <w:pPr>
              <w:pStyle w:val="1011"/>
              <w:jc w:val="center"/>
              <w:spacing w:line="360" w:lineRule="auto"/>
              <w:rPr>
                <w:rFonts w:ascii="宋体" w:hAnsi="宋体" w:eastAsia="Arial" w:cs="宋体"/>
                <w:lang w:eastAsia="en-US"/>
              </w:rPr>
            </w:pPr>
            <w:r>
              <w:rPr>
                <w:rFonts w:hint="eastAsia" w:ascii="宋体" w:hAnsi="宋体" w:eastAsia="Arial" w:cs="宋体"/>
                <w:lang w:eastAsia="en-US"/>
              </w:rPr>
              <w:t xml:space="preserve">21</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1636" w:type="dxa"/>
            <w:vAlign w:val="center"/>
            <w:textDirection w:val="lrTb"/>
            <w:noWrap/>
          </w:tcPr>
          <w:p>
            <w:pPr>
              <w:pStyle w:val="1011"/>
              <w:jc w:val="center"/>
              <w:spacing w:line="360" w:lineRule="auto"/>
              <w:rPr>
                <w:rFonts w:ascii="宋体" w:hAnsi="宋体" w:eastAsia="Arial" w:cs="宋体"/>
                <w:lang w:eastAsia="en-US"/>
              </w:rPr>
            </w:pPr>
            <w:r>
              <w:rPr>
                <w:rFonts w:hint="eastAsia" w:ascii="宋体" w:hAnsi="宋体" w:eastAsia="Arial" w:cs="宋体"/>
                <w:lang w:val="zh-CN" w:eastAsia="en-US"/>
              </w:rPr>
              <w:t xml:space="preserve">导致废标因素</w:t>
            </w:r>
            <w:r>
              <w:rPr>
                <w:rFonts w:ascii="宋体" w:hAnsi="宋体" w:eastAsia="Arial" w:cs="宋体"/>
                <w:lang w:eastAsia="en-US"/>
              </w:rPr>
            </w:r>
            <w:r/>
          </w:p>
        </w:tc>
        <w:tc>
          <w:tcPr>
            <w:tcBorders>
              <w:top w:val="single" w:color="000000" w:sz="6" w:space="0"/>
              <w:left w:val="single" w:color="000000" w:sz="6" w:space="0"/>
              <w:bottom w:val="single" w:color="000000" w:sz="6" w:space="0"/>
              <w:right w:val="single" w:color="000000" w:sz="6" w:space="0"/>
            </w:tcBorders>
            <w:tcW w:w="7581" w:type="dxa"/>
            <w:vAlign w:val="center"/>
            <w:textDirection w:val="lrTb"/>
            <w:noWrap/>
          </w:tcPr>
          <w:p>
            <w:pPr>
              <w:pStyle w:val="1011"/>
              <w:spacing w:line="360" w:lineRule="auto"/>
              <w:rPr>
                <w:rFonts w:ascii="宋体" w:hAnsi="宋体" w:eastAsia="Arial" w:cs="宋体"/>
                <w:b/>
                <w:bCs/>
                <w:lang w:val="zh-CN"/>
              </w:rPr>
            </w:pPr>
            <w:r>
              <w:rPr>
                <w:rFonts w:hint="eastAsia" w:ascii="宋体" w:hAnsi="宋体" w:eastAsia="Arial" w:cs="宋体"/>
                <w:b/>
                <w:bCs/>
                <w:lang w:val="zh-CN"/>
              </w:rPr>
              <w:t xml:space="preserve">出现下列情形之一的，为废标：</w:t>
            </w:r>
            <w:r>
              <w:rPr>
                <w:rFonts w:ascii="宋体" w:hAnsi="宋体" w:eastAsia="Arial" w:cs="宋体"/>
                <w:b/>
                <w:bCs/>
                <w:lang w:val="zh-CN"/>
              </w:rPr>
            </w:r>
            <w:r/>
          </w:p>
          <w:p>
            <w:pPr>
              <w:pStyle w:val="1011"/>
              <w:spacing w:line="360" w:lineRule="auto"/>
              <w:rPr>
                <w:rFonts w:ascii="宋体" w:hAnsi="宋体" w:eastAsia="Arial" w:cs="宋体"/>
                <w:lang w:val="zh-CN"/>
              </w:rPr>
            </w:pPr>
            <w:r>
              <w:rPr>
                <w:rFonts w:hint="eastAsia" w:ascii="宋体" w:hAnsi="宋体" w:eastAsia="Arial" w:cs="宋体"/>
              </w:rPr>
              <w:t xml:space="preserve">1.</w:t>
            </w:r>
            <w:r>
              <w:rPr>
                <w:rFonts w:hint="eastAsia" w:ascii="宋体" w:hAnsi="宋体" w:eastAsia="Arial" w:cs="宋体"/>
                <w:lang w:val="zh-CN"/>
              </w:rPr>
              <w:t xml:space="preserve">符合专业条件的供应商或者对招标文件作实质响应的供应商不足三家的；</w:t>
            </w:r>
            <w:r>
              <w:rPr>
                <w:rFonts w:ascii="宋体" w:hAnsi="宋体" w:eastAsia="Arial" w:cs="宋体"/>
                <w:lang w:val="zh-CN"/>
              </w:rPr>
            </w:r>
            <w:r/>
          </w:p>
          <w:p>
            <w:pPr>
              <w:pStyle w:val="1011"/>
              <w:spacing w:line="360" w:lineRule="auto"/>
              <w:rPr>
                <w:rFonts w:ascii="宋体" w:hAnsi="宋体" w:eastAsia="Arial" w:cs="宋体"/>
                <w:lang w:val="zh-CN"/>
              </w:rPr>
            </w:pPr>
            <w:r>
              <w:rPr>
                <w:rFonts w:hint="eastAsia" w:ascii="宋体" w:hAnsi="宋体" w:eastAsia="Arial" w:cs="宋体"/>
              </w:rPr>
              <w:t xml:space="preserve">2.</w:t>
            </w:r>
            <w:r>
              <w:rPr>
                <w:rFonts w:hint="eastAsia" w:ascii="宋体" w:hAnsi="宋体" w:eastAsia="Arial" w:cs="宋体"/>
                <w:lang w:val="zh-CN"/>
              </w:rPr>
              <w:t xml:space="preserve">出现影响采购公正的违法、违规行为的；</w:t>
            </w:r>
            <w:r>
              <w:rPr>
                <w:rFonts w:ascii="宋体" w:hAnsi="宋体" w:eastAsia="Arial" w:cs="宋体"/>
                <w:lang w:val="zh-CN"/>
              </w:rPr>
            </w:r>
            <w:r/>
          </w:p>
          <w:p>
            <w:pPr>
              <w:pStyle w:val="1011"/>
              <w:spacing w:line="360" w:lineRule="auto"/>
              <w:rPr>
                <w:rFonts w:ascii="宋体" w:hAnsi="宋体" w:eastAsia="Arial" w:cs="宋体"/>
                <w:lang w:val="zh-CN"/>
              </w:rPr>
            </w:pPr>
            <w:r>
              <w:rPr>
                <w:rFonts w:hint="eastAsia" w:ascii="宋体" w:hAnsi="宋体" w:eastAsia="Arial" w:cs="宋体"/>
              </w:rPr>
              <w:t xml:space="preserve">3.</w:t>
            </w:r>
            <w:r>
              <w:rPr>
                <w:rFonts w:hint="eastAsia" w:ascii="宋体" w:hAnsi="宋体" w:eastAsia="Arial" w:cs="宋体"/>
                <w:lang w:val="zh-CN"/>
              </w:rPr>
              <w:t xml:space="preserve">投标人的报价均超过了采购预算或者最高限价的，采购单位不能支付的；</w:t>
            </w:r>
            <w:r>
              <w:rPr>
                <w:rFonts w:ascii="宋体" w:hAnsi="宋体" w:eastAsia="Arial" w:cs="宋体"/>
                <w:lang w:val="zh-CN"/>
              </w:rPr>
            </w:r>
            <w:r/>
          </w:p>
          <w:p>
            <w:pPr>
              <w:pStyle w:val="1011"/>
              <w:spacing w:line="360" w:lineRule="auto"/>
              <w:rPr>
                <w:rFonts w:ascii="宋体" w:hAnsi="宋体" w:eastAsia="Arial" w:cs="宋体"/>
                <w:lang w:val="zh-CN"/>
              </w:rPr>
            </w:pPr>
            <w:r>
              <w:rPr>
                <w:rFonts w:hint="eastAsia" w:ascii="宋体" w:hAnsi="宋体" w:eastAsia="Arial" w:cs="宋体"/>
              </w:rPr>
              <w:t xml:space="preserve">4.</w:t>
            </w:r>
            <w:r>
              <w:rPr>
                <w:rFonts w:hint="eastAsia" w:ascii="宋体" w:hAnsi="宋体" w:eastAsia="Arial" w:cs="宋体"/>
                <w:lang w:val="zh-CN"/>
              </w:rPr>
              <w:t xml:space="preserve">因重大变故，采购任务取消的。</w:t>
            </w:r>
            <w:bookmarkEnd w:id="9"/>
            <w:r>
              <w:rPr>
                <w:rFonts w:ascii="宋体" w:hAnsi="宋体" w:eastAsia="Arial" w:cs="宋体"/>
                <w:lang w:val="zh-CN"/>
              </w:rPr>
            </w:r>
            <w:r/>
          </w:p>
        </w:tc>
      </w:tr>
    </w:tbl>
    <w:p>
      <w:pPr>
        <w:ind w:left="0" w:right="0" w:firstLine="0"/>
        <w:jc w:val="center"/>
        <w:spacing w:before="480" w:after="0" w:line="322" w:lineRule="atLeast"/>
        <w:pBdr>
          <w:top w:val="none" w:color="000000" w:sz="4" w:space="0"/>
          <w:left w:val="none" w:color="000000" w:sz="4" w:space="0"/>
          <w:bottom w:val="none" w:color="000000" w:sz="4" w:space="0"/>
          <w:right w:val="none" w:color="000000" w:sz="4" w:space="0"/>
        </w:pBdr>
      </w:pPr>
      <w:r>
        <w:rPr>
          <w:rFonts w:ascii="宋体" w:hAnsi="宋体" w:cs="宋体"/>
          <w:sz w:val="31"/>
          <w:szCs w:val="31"/>
        </w:rPr>
        <w:br w:type="page" w:clear="all"/>
      </w:r>
      <w:r>
        <w:rPr>
          <w:rFonts w:ascii="宋体" w:hAnsi="宋体" w:cs="宋体"/>
          <w:sz w:val="31"/>
          <w:szCs w:val="31"/>
        </w:rPr>
      </w:r>
      <w:r>
        <w:rPr>
          <w:rFonts w:ascii="Arial" w:hAnsi="Arial" w:eastAsia="Arial" w:cs="Arial"/>
          <w:b/>
          <w:color w:val="366091"/>
          <w:sz w:val="28"/>
        </w:rPr>
        <w:t xml:space="preserve">目录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113" w:lineRule="atLeast"/>
        <w:tabs>
          <w:tab w:val="left" w:pos="9687" w:leader="none"/>
        </w:tabs>
        <w:pBdr>
          <w:top w:val="none" w:color="000000" w:sz="4" w:space="0"/>
          <w:left w:val="none" w:color="000000" w:sz="4" w:space="0"/>
          <w:bottom w:val="none" w:color="000000" w:sz="4" w:space="0"/>
          <w:right w:val="none" w:color="000000" w:sz="4" w:space="0"/>
        </w:pBdr>
      </w:pPr>
      <w:r/>
      <w:hyperlink r:id="rId32" w:tooltip="http://jszfcg.jsczt.cn/jszc/onlyoffice/7.2.1-34/web-apps/apps/documenteditor/main/index_loader.html?_dc=7.2.1-34&amp;lang=zh&amp;customer=%20&amp;logo=%20&amp;headerlogo=%2Ffavicon.ico&amp;frameEditorId=iframePage&amp;compact=true&amp;parentOrigin=http://jszfcg.jsczt.cn#_Toc212041560" w:history="1">
        <w:r>
          <w:rPr>
            <w:rStyle w:val="1196"/>
            <w:rFonts w:ascii="SimSun" w:hAnsi="SimSun" w:eastAsia="SimSun" w:cs="SimSun"/>
            <w:b/>
            <w:color w:val="0000ff"/>
            <w:spacing w:val="6"/>
            <w:sz w:val="24"/>
            <w:u w:val="single"/>
          </w:rPr>
          <w:t xml:space="preserve">第一章投标邀请函</w:t>
        </w:r>
      </w:hyperlink>
      <w:r/>
      <w:r/>
    </w:p>
    <w:p>
      <w:pPr>
        <w:ind w:left="0" w:right="0" w:firstLine="0"/>
        <w:spacing w:before="0" w:after="0" w:line="113" w:lineRule="atLeast"/>
        <w:tabs>
          <w:tab w:val="left" w:pos="9687" w:leader="none"/>
        </w:tabs>
        <w:pBdr>
          <w:top w:val="none" w:color="000000" w:sz="4" w:space="0"/>
          <w:left w:val="none" w:color="000000" w:sz="4" w:space="0"/>
          <w:bottom w:val="none" w:color="000000" w:sz="4" w:space="0"/>
          <w:right w:val="none" w:color="000000" w:sz="4" w:space="0"/>
        </w:pBdr>
      </w:pPr>
      <w:r/>
      <w:hyperlink r:id="rId33" w:tooltip="http://jszfcg.jsczt.cn/jszc/onlyoffice/7.2.1-34/web-apps/apps/documenteditor/main/index_loader.html?_dc=7.2.1-34&amp;lang=zh&amp;customer=%20&amp;logo=%20&amp;headerlogo=%2Ffavicon.ico&amp;frameEditorId=iframePage&amp;compact=true&amp;parentOrigin=http://jszfcg.jsczt.cn#_Toc212041561" w:history="1">
        <w:r>
          <w:rPr>
            <w:rStyle w:val="1196"/>
            <w:rFonts w:ascii="SimSun" w:hAnsi="SimSun" w:eastAsia="SimSun" w:cs="SimSun"/>
            <w:b/>
            <w:color w:val="0000ff"/>
            <w:spacing w:val="6"/>
            <w:sz w:val="24"/>
            <w:u w:val="single"/>
          </w:rPr>
          <w:t xml:space="preserve">第二章投标人须知</w:t>
        </w:r>
      </w:hyperlink>
      <w:r/>
      <w:r/>
    </w:p>
    <w:p>
      <w:pPr>
        <w:ind w:left="0" w:right="0" w:firstLine="0"/>
        <w:spacing w:before="0" w:after="0" w:line="113" w:lineRule="atLeast"/>
        <w:tabs>
          <w:tab w:val="left" w:pos="9687" w:leader="none"/>
        </w:tabs>
        <w:pBdr>
          <w:top w:val="none" w:color="000000" w:sz="4" w:space="0"/>
          <w:left w:val="none" w:color="000000" w:sz="4" w:space="0"/>
          <w:bottom w:val="none" w:color="000000" w:sz="4" w:space="0"/>
          <w:right w:val="none" w:color="000000" w:sz="4" w:space="0"/>
        </w:pBdr>
      </w:pPr>
      <w:r/>
      <w:hyperlink r:id="rId34" w:tooltip="http://jszfcg.jsczt.cn/jszc/onlyoffice/7.2.1-34/web-apps/apps/documenteditor/main/index_loader.html?_dc=7.2.1-34&amp;lang=zh&amp;customer=%20&amp;logo=%20&amp;headerlogo=%2Ffavicon.ico&amp;frameEditorId=iframePage&amp;compact=true&amp;parentOrigin=http://jszfcg.jsczt.cn#_Toc212041562" w:history="1">
        <w:r>
          <w:rPr>
            <w:rStyle w:val="1196"/>
            <w:rFonts w:ascii="SimSun" w:hAnsi="SimSun" w:eastAsia="SimSun" w:cs="SimSun"/>
            <w:b/>
            <w:color w:val="0000ff"/>
            <w:spacing w:val="6"/>
            <w:sz w:val="24"/>
            <w:u w:val="single"/>
          </w:rPr>
          <w:t xml:space="preserve">第三章投标文件部分格式</w:t>
        </w:r>
      </w:hyperlink>
      <w:r/>
      <w:r/>
    </w:p>
    <w:p>
      <w:pPr>
        <w:ind w:left="0" w:right="0" w:firstLine="0"/>
        <w:spacing w:before="0" w:after="0" w:line="113" w:lineRule="atLeast"/>
        <w:tabs>
          <w:tab w:val="left" w:pos="9687" w:leader="none"/>
        </w:tabs>
        <w:pBdr>
          <w:top w:val="none" w:color="000000" w:sz="4" w:space="0"/>
          <w:left w:val="none" w:color="000000" w:sz="4" w:space="0"/>
          <w:bottom w:val="none" w:color="000000" w:sz="4" w:space="0"/>
          <w:right w:val="none" w:color="000000" w:sz="4" w:space="0"/>
        </w:pBdr>
      </w:pPr>
      <w:r/>
      <w:hyperlink r:id="rId35" w:tooltip="http://jszfcg.jsczt.cn/jszc/onlyoffice/7.2.1-34/web-apps/apps/documenteditor/main/index_loader.html?_dc=7.2.1-34&amp;lang=zh&amp;customer=%20&amp;logo=%20&amp;headerlogo=%2Ffavicon.ico&amp;frameEditorId=iframePage&amp;compact=true&amp;parentOrigin=http://jszfcg.jsczt.cn#_Toc212041563" w:history="1">
        <w:r>
          <w:rPr>
            <w:rStyle w:val="1196"/>
            <w:rFonts w:ascii="SimSun" w:hAnsi="SimSun" w:eastAsia="SimSun" w:cs="SimSun"/>
            <w:b/>
            <w:color w:val="0000ff"/>
            <w:spacing w:val="6"/>
            <w:sz w:val="24"/>
            <w:u w:val="single"/>
          </w:rPr>
          <w:t xml:space="preserve">第四章采购内容</w:t>
        </w:r>
      </w:hyperlink>
      <w:r/>
      <w:r/>
    </w:p>
    <w:p>
      <w:pPr>
        <w:ind w:left="0" w:right="0" w:firstLine="0"/>
        <w:spacing w:before="0" w:after="0" w:line="113" w:lineRule="atLeast"/>
        <w:tabs>
          <w:tab w:val="left" w:pos="9687" w:leader="none"/>
        </w:tabs>
        <w:pBdr>
          <w:top w:val="none" w:color="000000" w:sz="4" w:space="0"/>
          <w:left w:val="none" w:color="000000" w:sz="4" w:space="0"/>
          <w:bottom w:val="none" w:color="000000" w:sz="4" w:space="0"/>
          <w:right w:val="none" w:color="000000" w:sz="4" w:space="0"/>
        </w:pBdr>
      </w:pPr>
      <w:r/>
      <w:hyperlink r:id="rId36" w:tooltip="http://jszfcg.jsczt.cn/jszc/onlyoffice/7.2.1-34/web-apps/apps/documenteditor/main/index_loader.html?_dc=7.2.1-34&amp;lang=zh&amp;customer=%20&amp;logo=%20&amp;headerlogo=%2Ffavicon.ico&amp;frameEditorId=iframePage&amp;compact=true&amp;parentOrigin=http://jszfcg.jsczt.cn#_Toc212041564" w:history="1">
        <w:r>
          <w:rPr>
            <w:rStyle w:val="1196"/>
            <w:rFonts w:ascii="SimSun" w:hAnsi="SimSun" w:eastAsia="SimSun" w:cs="SimSun"/>
            <w:b/>
            <w:color w:val="0000ff"/>
            <w:spacing w:val="6"/>
            <w:sz w:val="24"/>
            <w:u w:val="single"/>
          </w:rPr>
          <w:t xml:space="preserve">第五章合同主要条款</w:t>
        </w:r>
      </w:hyperlink>
      <w:r/>
      <w:r/>
    </w:p>
    <w:p>
      <w:pPr>
        <w:ind w:left="0" w:right="0" w:firstLine="0"/>
        <w:spacing w:before="0" w:after="0" w:line="113" w:lineRule="atLeast"/>
        <w:tabs>
          <w:tab w:val="left" w:pos="9687" w:leader="none"/>
        </w:tabs>
        <w:pBdr>
          <w:top w:val="none" w:color="000000" w:sz="4" w:space="0"/>
          <w:left w:val="none" w:color="000000" w:sz="4" w:space="0"/>
          <w:bottom w:val="none" w:color="000000" w:sz="4" w:space="0"/>
          <w:right w:val="none" w:color="000000" w:sz="4" w:space="0"/>
        </w:pBdr>
      </w:pPr>
      <w:r/>
      <w:hyperlink r:id="rId37" w:tooltip="http://jszfcg.jsczt.cn/jszc/onlyoffice/7.2.1-34/web-apps/apps/documenteditor/main/index_loader.html?_dc=7.2.1-34&amp;lang=zh&amp;customer=%20&amp;logo=%20&amp;headerlogo=%2Ffavicon.ico&amp;frameEditorId=iframePage&amp;compact=true&amp;parentOrigin=http://jszfcg.jsczt.cn#_Toc212041565" w:history="1">
        <w:r>
          <w:rPr>
            <w:rStyle w:val="1196"/>
            <w:rFonts w:ascii="SimSun" w:hAnsi="SimSun" w:eastAsia="SimSun" w:cs="SimSun"/>
            <w:b/>
            <w:color w:val="0000ff"/>
            <w:spacing w:val="6"/>
            <w:sz w:val="24"/>
            <w:u w:val="single"/>
          </w:rPr>
          <w:t xml:space="preserve">第六章评审办法及评分标准</w:t>
        </w:r>
      </w:hyperlink>
      <w:r/>
      <w:r/>
    </w:p>
    <w:p>
      <w:pPr>
        <w:jc w:val="center"/>
        <w:spacing w:line="226" w:lineRule="auto"/>
        <w:rPr>
          <w:rFonts w:ascii="宋体" w:hAnsi="宋体" w:cs="宋体"/>
          <w:sz w:val="31"/>
          <w:szCs w:val="31"/>
        </w:rPr>
      </w:pPr>
      <w:r>
        <w:rPr>
          <w:rFonts w:ascii="宋体" w:hAnsi="宋体" w:cs="宋体"/>
          <w:sz w:val="31"/>
          <w:szCs w:val="31"/>
        </w:rPr>
      </w:r>
      <w:r>
        <w:rPr>
          <w:rFonts w:ascii="宋体" w:hAnsi="宋体" w:cs="宋体"/>
          <w:sz w:val="31"/>
          <w:szCs w:val="31"/>
        </w:rPr>
      </w:r>
    </w:p>
    <w:p>
      <w:pPr>
        <w:jc w:val="center"/>
        <w:spacing w:line="226" w:lineRule="auto"/>
        <w:rPr>
          <w:rFonts w:ascii="宋体" w:hAnsi="宋体" w:cs="宋体"/>
          <w:sz w:val="31"/>
          <w:szCs w:val="31"/>
        </w:rPr>
      </w:pPr>
      <w:r>
        <w:rPr>
          <w:rFonts w:ascii="宋体" w:hAnsi="宋体" w:cs="宋体"/>
          <w:sz w:val="31"/>
          <w:szCs w:val="31"/>
        </w:rPr>
      </w:r>
      <w:r>
        <w:rPr>
          <w:rFonts w:ascii="宋体" w:hAnsi="宋体" w:cs="宋体"/>
          <w:sz w:val="31"/>
          <w:szCs w:val="31"/>
        </w:rPr>
      </w:r>
    </w:p>
    <w:p>
      <w:pPr>
        <w:jc w:val="center"/>
        <w:spacing w:line="226" w:lineRule="auto"/>
        <w:rPr>
          <w:rFonts w:ascii="宋体" w:hAnsi="宋体" w:cs="宋体"/>
          <w:sz w:val="31"/>
          <w:szCs w:val="31"/>
        </w:rPr>
      </w:pPr>
      <w:r>
        <w:rPr>
          <w:rFonts w:ascii="宋体" w:hAnsi="宋体" w:cs="宋体"/>
          <w:sz w:val="31"/>
          <w:szCs w:val="31"/>
        </w:rPr>
      </w:r>
      <w:r>
        <w:rPr>
          <w:rFonts w:ascii="宋体" w:hAnsi="宋体" w:cs="宋体"/>
          <w:sz w:val="31"/>
          <w:szCs w:val="31"/>
        </w:rPr>
      </w:r>
    </w:p>
    <w:p>
      <w:pPr>
        <w:jc w:val="center"/>
        <w:spacing w:line="226" w:lineRule="auto"/>
        <w:rPr>
          <w:rFonts w:ascii="宋体" w:hAnsi="宋体" w:cs="宋体"/>
          <w:sz w:val="31"/>
          <w:szCs w:val="31"/>
        </w:rPr>
      </w:pPr>
      <w:r>
        <w:rPr>
          <w:rFonts w:ascii="宋体" w:hAnsi="宋体" w:cs="宋体"/>
          <w:sz w:val="31"/>
          <w:szCs w:val="31"/>
        </w:rPr>
      </w:r>
      <w:r>
        <w:rPr>
          <w:rFonts w:ascii="宋体" w:hAnsi="宋体" w:cs="宋体"/>
          <w:sz w:val="31"/>
          <w:szCs w:val="31"/>
        </w:rPr>
      </w:r>
    </w:p>
    <w:p>
      <w:pPr>
        <w:jc w:val="center"/>
        <w:spacing w:line="226" w:lineRule="auto"/>
        <w:rPr>
          <w:rFonts w:ascii="宋体" w:hAnsi="宋体" w:cs="宋体"/>
          <w:sz w:val="31"/>
          <w:szCs w:val="31"/>
        </w:rPr>
      </w:pPr>
      <w:r>
        <w:rPr>
          <w:rFonts w:ascii="宋体" w:hAnsi="宋体" w:cs="宋体"/>
          <w:sz w:val="31"/>
          <w:szCs w:val="31"/>
        </w:rPr>
      </w:r>
      <w:r>
        <w:rPr>
          <w:rFonts w:ascii="宋体" w:hAnsi="宋体" w:cs="宋体"/>
          <w:sz w:val="31"/>
          <w:szCs w:val="31"/>
        </w:rPr>
      </w:r>
    </w:p>
    <w:p>
      <w:pPr>
        <w:jc w:val="center"/>
        <w:spacing w:line="226" w:lineRule="auto"/>
        <w:rPr>
          <w:rFonts w:ascii="宋体" w:hAnsi="宋体" w:cs="宋体"/>
          <w:sz w:val="31"/>
          <w:szCs w:val="31"/>
        </w:rPr>
      </w:pPr>
      <w:r>
        <w:rPr>
          <w:rFonts w:ascii="宋体" w:hAnsi="宋体" w:cs="宋体"/>
          <w:sz w:val="31"/>
          <w:szCs w:val="31"/>
        </w:rPr>
      </w:r>
      <w:r>
        <w:rPr>
          <w:rFonts w:ascii="宋体" w:hAnsi="宋体" w:cs="宋体"/>
          <w:sz w:val="31"/>
          <w:szCs w:val="31"/>
        </w:rPr>
      </w:r>
    </w:p>
    <w:p>
      <w:pPr>
        <w:jc w:val="center"/>
        <w:spacing w:line="226" w:lineRule="auto"/>
        <w:rPr>
          <w:rFonts w:ascii="宋体" w:hAnsi="宋体" w:cs="宋体"/>
          <w:sz w:val="31"/>
          <w:szCs w:val="31"/>
        </w:rPr>
      </w:pPr>
      <w:r>
        <w:rPr>
          <w:rFonts w:ascii="宋体" w:hAnsi="宋体" w:cs="宋体"/>
          <w:sz w:val="31"/>
          <w:szCs w:val="31"/>
        </w:rPr>
      </w:r>
      <w:r>
        <w:rPr>
          <w:rFonts w:ascii="宋体" w:hAnsi="宋体" w:cs="宋体"/>
          <w:sz w:val="31"/>
          <w:szCs w:val="31"/>
        </w:rPr>
      </w:r>
    </w:p>
    <w:p>
      <w:pPr>
        <w:jc w:val="center"/>
        <w:spacing w:line="226" w:lineRule="auto"/>
        <w:rPr>
          <w:rFonts w:ascii="宋体" w:hAnsi="宋体" w:cs="宋体"/>
          <w:sz w:val="31"/>
          <w:szCs w:val="31"/>
        </w:rPr>
      </w:pPr>
      <w:r>
        <w:rPr>
          <w:rFonts w:ascii="宋体" w:hAnsi="宋体" w:cs="宋体"/>
          <w:sz w:val="31"/>
          <w:szCs w:val="31"/>
        </w:rPr>
      </w:r>
      <w:r>
        <w:rPr>
          <w:rFonts w:ascii="宋体" w:hAnsi="宋体" w:cs="宋体"/>
          <w:sz w:val="31"/>
          <w:szCs w:val="31"/>
        </w:rPr>
      </w:r>
    </w:p>
    <w:p>
      <w:pPr>
        <w:jc w:val="center"/>
        <w:spacing w:line="226" w:lineRule="auto"/>
        <w:rPr>
          <w:rFonts w:ascii="宋体" w:hAnsi="宋体" w:cs="宋体"/>
          <w:sz w:val="31"/>
          <w:szCs w:val="31"/>
        </w:rPr>
      </w:pPr>
      <w:r>
        <w:rPr>
          <w:rFonts w:ascii="宋体" w:hAnsi="宋体" w:cs="宋体"/>
          <w:sz w:val="31"/>
          <w:szCs w:val="31"/>
        </w:rPr>
      </w:r>
      <w:r>
        <w:rPr>
          <w:rFonts w:ascii="宋体" w:hAnsi="宋体" w:cs="宋体"/>
          <w:sz w:val="31"/>
          <w:szCs w:val="31"/>
        </w:rPr>
      </w:r>
    </w:p>
    <w:p>
      <w:pPr>
        <w:jc w:val="center"/>
        <w:spacing w:line="226" w:lineRule="auto"/>
        <w:rPr>
          <w:rFonts w:ascii="宋体" w:hAnsi="宋体" w:cs="宋体"/>
          <w:sz w:val="31"/>
          <w:szCs w:val="31"/>
        </w:rPr>
      </w:pPr>
      <w:r>
        <w:rPr>
          <w:rFonts w:ascii="宋体" w:hAnsi="宋体" w:cs="宋体"/>
          <w:sz w:val="31"/>
          <w:szCs w:val="31"/>
        </w:rPr>
      </w:r>
      <w:r>
        <w:rPr>
          <w:rFonts w:ascii="宋体" w:hAnsi="宋体" w:cs="宋体"/>
          <w:sz w:val="31"/>
          <w:szCs w:val="31"/>
        </w:rPr>
      </w:r>
    </w:p>
    <w:p>
      <w:pPr>
        <w:jc w:val="center"/>
        <w:spacing w:line="226" w:lineRule="auto"/>
        <w:rPr>
          <w:rFonts w:ascii="宋体" w:hAnsi="宋体" w:cs="宋体"/>
          <w:sz w:val="31"/>
          <w:szCs w:val="31"/>
        </w:rPr>
      </w:pPr>
      <w:r>
        <w:rPr>
          <w:rFonts w:ascii="宋体" w:hAnsi="宋体" w:cs="宋体"/>
          <w:sz w:val="31"/>
          <w:szCs w:val="31"/>
        </w:rPr>
      </w:r>
      <w:r>
        <w:rPr>
          <w:rFonts w:ascii="宋体" w:hAnsi="宋体" w:cs="宋体"/>
          <w:sz w:val="31"/>
          <w:szCs w:val="31"/>
        </w:rPr>
      </w:r>
    </w:p>
    <w:p>
      <w:pPr>
        <w:jc w:val="center"/>
        <w:spacing w:line="226" w:lineRule="auto"/>
        <w:rPr>
          <w:rFonts w:ascii="宋体" w:hAnsi="宋体" w:cs="宋体"/>
          <w:sz w:val="31"/>
          <w:szCs w:val="31"/>
        </w:rPr>
      </w:pPr>
      <w:r>
        <w:rPr>
          <w:rFonts w:ascii="宋体" w:hAnsi="宋体" w:cs="宋体"/>
          <w:sz w:val="31"/>
          <w:szCs w:val="31"/>
        </w:rPr>
      </w:r>
      <w:r>
        <w:rPr>
          <w:rFonts w:ascii="宋体" w:hAnsi="宋体" w:cs="宋体"/>
          <w:sz w:val="31"/>
          <w:szCs w:val="31"/>
        </w:rPr>
      </w:r>
    </w:p>
    <w:p>
      <w:pPr>
        <w:jc w:val="center"/>
        <w:spacing w:line="226" w:lineRule="auto"/>
        <w:rPr>
          <w:rFonts w:ascii="宋体" w:hAnsi="宋体" w:cs="宋体"/>
          <w:sz w:val="31"/>
          <w:szCs w:val="31"/>
        </w:rPr>
      </w:pPr>
      <w:r>
        <w:rPr>
          <w:rFonts w:ascii="宋体" w:hAnsi="宋体" w:cs="宋体"/>
          <w:sz w:val="31"/>
          <w:szCs w:val="31"/>
        </w:rPr>
      </w:r>
      <w:r>
        <w:rPr>
          <w:rFonts w:ascii="宋体" w:hAnsi="宋体" w:cs="宋体"/>
          <w:sz w:val="31"/>
          <w:szCs w:val="31"/>
        </w:rPr>
      </w:r>
    </w:p>
    <w:p>
      <w:pPr>
        <w:jc w:val="center"/>
        <w:spacing w:line="226" w:lineRule="auto"/>
        <w:rPr>
          <w:rFonts w:ascii="宋体" w:hAnsi="宋体" w:cs="宋体"/>
          <w:sz w:val="31"/>
          <w:szCs w:val="31"/>
        </w:rPr>
      </w:pPr>
      <w:r>
        <w:rPr>
          <w:rFonts w:ascii="宋体" w:hAnsi="宋体" w:cs="宋体"/>
          <w:sz w:val="31"/>
          <w:szCs w:val="31"/>
        </w:rPr>
      </w:r>
      <w:r>
        <w:rPr>
          <w:rFonts w:ascii="宋体" w:hAnsi="宋体" w:cs="宋体"/>
          <w:sz w:val="31"/>
          <w:szCs w:val="31"/>
        </w:rPr>
      </w:r>
    </w:p>
    <w:p>
      <w:pPr>
        <w:jc w:val="center"/>
        <w:spacing w:line="226" w:lineRule="auto"/>
        <w:rPr>
          <w:rFonts w:ascii="宋体" w:hAnsi="宋体" w:cs="宋体"/>
          <w:sz w:val="31"/>
          <w:szCs w:val="31"/>
        </w:rPr>
      </w:pPr>
      <w:r>
        <w:rPr>
          <w:rFonts w:ascii="宋体" w:hAnsi="宋体" w:cs="宋体"/>
          <w:sz w:val="31"/>
          <w:szCs w:val="31"/>
        </w:rPr>
      </w:r>
      <w:r>
        <w:rPr>
          <w:rFonts w:ascii="宋体" w:hAnsi="宋体" w:cs="宋体"/>
          <w:sz w:val="31"/>
          <w:szCs w:val="31"/>
        </w:rPr>
      </w:r>
    </w:p>
    <w:p>
      <w:pPr>
        <w:jc w:val="center"/>
        <w:spacing w:line="226" w:lineRule="auto"/>
        <w:rPr>
          <w:rFonts w:ascii="宋体" w:hAnsi="宋体" w:cs="宋体"/>
          <w:sz w:val="31"/>
          <w:szCs w:val="31"/>
        </w:rPr>
      </w:pPr>
      <w:r>
        <w:rPr>
          <w:rFonts w:ascii="宋体" w:hAnsi="宋体" w:cs="宋体"/>
          <w:sz w:val="31"/>
          <w:szCs w:val="31"/>
        </w:rPr>
      </w:r>
      <w:r>
        <w:rPr>
          <w:rFonts w:ascii="宋体" w:hAnsi="宋体" w:cs="宋体"/>
          <w:sz w:val="31"/>
          <w:szCs w:val="31"/>
        </w:rPr>
      </w:r>
    </w:p>
    <w:p>
      <w:pPr>
        <w:jc w:val="center"/>
        <w:spacing w:line="226" w:lineRule="auto"/>
        <w:rPr>
          <w:rFonts w:ascii="宋体" w:hAnsi="宋体" w:cs="宋体"/>
          <w:sz w:val="31"/>
          <w:szCs w:val="31"/>
        </w:rPr>
      </w:pPr>
      <w:r>
        <w:rPr>
          <w:rFonts w:ascii="宋体" w:hAnsi="宋体" w:cs="宋体"/>
          <w:sz w:val="31"/>
          <w:szCs w:val="31"/>
        </w:rPr>
      </w:r>
      <w:r>
        <w:rPr>
          <w:rFonts w:ascii="宋体" w:hAnsi="宋体" w:cs="宋体"/>
          <w:sz w:val="31"/>
          <w:szCs w:val="31"/>
        </w:rPr>
      </w:r>
    </w:p>
    <w:p>
      <w:pPr>
        <w:jc w:val="center"/>
        <w:spacing w:line="226" w:lineRule="auto"/>
        <w:rPr>
          <w:rFonts w:ascii="宋体" w:hAnsi="宋体" w:cs="宋体"/>
          <w:sz w:val="31"/>
          <w:szCs w:val="31"/>
        </w:rPr>
      </w:pPr>
      <w:r>
        <w:rPr>
          <w:rFonts w:ascii="宋体" w:hAnsi="宋体" w:cs="宋体"/>
          <w:sz w:val="31"/>
          <w:szCs w:val="31"/>
        </w:rPr>
      </w:r>
      <w:r>
        <w:rPr>
          <w:rFonts w:ascii="宋体" w:hAnsi="宋体" w:cs="宋体"/>
          <w:sz w:val="31"/>
          <w:szCs w:val="31"/>
        </w:rPr>
      </w:r>
    </w:p>
    <w:p>
      <w:pPr>
        <w:jc w:val="center"/>
        <w:spacing w:line="226" w:lineRule="auto"/>
        <w:rPr>
          <w:rFonts w:ascii="宋体" w:hAnsi="宋体" w:cs="宋体"/>
          <w:sz w:val="31"/>
          <w:szCs w:val="31"/>
        </w:rPr>
      </w:pPr>
      <w:r>
        <w:rPr>
          <w:rFonts w:ascii="宋体" w:hAnsi="宋体" w:cs="宋体"/>
          <w:sz w:val="31"/>
          <w:szCs w:val="31"/>
        </w:rPr>
      </w:r>
      <w:r>
        <w:rPr>
          <w:rFonts w:ascii="宋体" w:hAnsi="宋体" w:cs="宋体"/>
          <w:sz w:val="31"/>
          <w:szCs w:val="31"/>
        </w:rPr>
      </w:r>
    </w:p>
    <w:p>
      <w:pPr>
        <w:jc w:val="center"/>
        <w:spacing w:line="226" w:lineRule="auto"/>
        <w:rPr>
          <w:rFonts w:ascii="宋体" w:hAnsi="宋体" w:cs="宋体"/>
          <w:sz w:val="31"/>
          <w:szCs w:val="31"/>
        </w:rPr>
      </w:pPr>
      <w:r>
        <w:rPr>
          <w:rFonts w:ascii="宋体" w:hAnsi="宋体" w:cs="宋体"/>
          <w:sz w:val="31"/>
          <w:szCs w:val="31"/>
        </w:rPr>
      </w:r>
      <w:r>
        <w:rPr>
          <w:rFonts w:ascii="宋体" w:hAnsi="宋体" w:cs="宋体"/>
          <w:sz w:val="31"/>
          <w:szCs w:val="31"/>
        </w:rPr>
      </w:r>
    </w:p>
    <w:p>
      <w:pPr>
        <w:jc w:val="center"/>
        <w:spacing w:line="226" w:lineRule="auto"/>
        <w:rPr>
          <w:rFonts w:ascii="宋体" w:hAnsi="宋体" w:cs="宋体"/>
          <w:sz w:val="31"/>
          <w:szCs w:val="31"/>
        </w:rPr>
      </w:pPr>
      <w:r>
        <w:rPr>
          <w:rFonts w:ascii="宋体" w:hAnsi="宋体" w:cs="宋体"/>
          <w:sz w:val="31"/>
          <w:szCs w:val="31"/>
        </w:rPr>
      </w:r>
      <w:r>
        <w:rPr>
          <w:rFonts w:ascii="宋体" w:hAnsi="宋体" w:cs="宋体"/>
          <w:sz w:val="31"/>
          <w:szCs w:val="31"/>
        </w:rPr>
      </w:r>
    </w:p>
    <w:p>
      <w:pPr>
        <w:jc w:val="center"/>
        <w:spacing w:line="226" w:lineRule="auto"/>
        <w:rPr>
          <w:rFonts w:ascii="宋体" w:hAnsi="宋体" w:cs="宋体"/>
          <w:sz w:val="31"/>
          <w:szCs w:val="31"/>
        </w:rPr>
      </w:pPr>
      <w:r>
        <w:rPr>
          <w:rFonts w:ascii="宋体" w:hAnsi="宋体" w:cs="宋体"/>
          <w:sz w:val="31"/>
          <w:szCs w:val="31"/>
        </w:rPr>
      </w:r>
      <w:r>
        <w:rPr>
          <w:rFonts w:ascii="宋体" w:hAnsi="宋体" w:cs="宋体"/>
          <w:sz w:val="31"/>
          <w:szCs w:val="31"/>
        </w:rPr>
      </w:r>
    </w:p>
    <w:p>
      <w:pPr>
        <w:jc w:val="center"/>
        <w:spacing w:line="226" w:lineRule="auto"/>
        <w:rPr>
          <w:rFonts w:ascii="宋体" w:hAnsi="宋体" w:cs="宋体"/>
          <w:sz w:val="31"/>
          <w:szCs w:val="31"/>
        </w:rPr>
      </w:pPr>
      <w:r>
        <w:rPr>
          <w:rFonts w:ascii="宋体" w:hAnsi="宋体" w:cs="宋体"/>
          <w:sz w:val="31"/>
          <w:szCs w:val="31"/>
        </w:rPr>
      </w:r>
      <w:r>
        <w:rPr>
          <w:rFonts w:ascii="宋体" w:hAnsi="宋体" w:cs="宋体"/>
          <w:sz w:val="31"/>
          <w:szCs w:val="31"/>
        </w:rPr>
      </w:r>
    </w:p>
    <w:p>
      <w:pPr>
        <w:jc w:val="center"/>
        <w:spacing w:line="226" w:lineRule="auto"/>
        <w:rPr>
          <w:rFonts w:ascii="宋体" w:hAnsi="宋体" w:cs="宋体"/>
          <w:sz w:val="31"/>
          <w:szCs w:val="31"/>
        </w:rPr>
      </w:pPr>
      <w:r>
        <w:rPr>
          <w:rFonts w:ascii="宋体" w:hAnsi="宋体" w:cs="宋体"/>
          <w:sz w:val="31"/>
          <w:szCs w:val="31"/>
        </w:rPr>
      </w:r>
      <w:r>
        <w:rPr>
          <w:rFonts w:ascii="宋体" w:hAnsi="宋体" w:cs="宋体"/>
          <w:sz w:val="31"/>
          <w:szCs w:val="31"/>
        </w:rPr>
      </w:r>
    </w:p>
    <w:p>
      <w:pPr>
        <w:jc w:val="center"/>
        <w:spacing w:line="226" w:lineRule="auto"/>
        <w:rPr>
          <w:rFonts w:ascii="宋体" w:hAnsi="宋体" w:cs="宋体"/>
          <w:sz w:val="31"/>
          <w:szCs w:val="31"/>
        </w:rPr>
      </w:pPr>
      <w:r>
        <w:rPr>
          <w:rFonts w:ascii="宋体" w:hAnsi="宋体" w:cs="宋体"/>
          <w:sz w:val="31"/>
          <w:szCs w:val="31"/>
        </w:rPr>
      </w:r>
      <w:r>
        <w:rPr>
          <w:rFonts w:ascii="宋体" w:hAnsi="宋体" w:cs="宋体"/>
          <w:sz w:val="31"/>
          <w:szCs w:val="31"/>
        </w:rPr>
      </w:r>
    </w:p>
    <w:p>
      <w:pPr>
        <w:jc w:val="center"/>
        <w:spacing w:line="226" w:lineRule="auto"/>
        <w:rPr>
          <w:rFonts w:ascii="宋体" w:hAnsi="宋体" w:cs="宋体"/>
          <w:sz w:val="31"/>
          <w:szCs w:val="31"/>
        </w:rPr>
      </w:pPr>
      <w:r>
        <w:rPr>
          <w:rFonts w:ascii="宋体" w:hAnsi="宋体" w:cs="宋体"/>
          <w:sz w:val="31"/>
          <w:szCs w:val="31"/>
        </w:rPr>
      </w:r>
      <w:r/>
      <w:r/>
    </w:p>
    <w:p>
      <w:pPr>
        <w:pStyle w:val="1011"/>
        <w:ind w:left="3341"/>
        <w:spacing w:before="136" w:line="225" w:lineRule="auto"/>
        <w:rPr>
          <w:rFonts w:ascii="宋体" w:hAnsi="宋体" w:cs="宋体"/>
          <w:sz w:val="31"/>
          <w:szCs w:val="31"/>
        </w:rPr>
        <w:outlineLvl w:val="0"/>
      </w:pPr>
      <w:r/>
      <w:bookmarkStart w:id="13" w:name="bookmark1"/>
      <w:r/>
      <w:bookmarkEnd w:id="13"/>
      <w:r/>
      <w:bookmarkStart w:id="14" w:name="_Toc212041560"/>
      <w:r>
        <w:rPr>
          <w:rFonts w:ascii="宋体" w:hAnsi="宋体" w:cs="宋体"/>
          <w:b/>
          <w:bCs/>
          <w:spacing w:val="6"/>
          <w:sz w:val="31"/>
          <w:szCs w:val="31"/>
        </w:rPr>
        <w:t xml:space="preserve">第一章投标邀请函</w:t>
      </w:r>
      <w:bookmarkEnd w:id="14"/>
      <w:r>
        <w:rPr>
          <w:rFonts w:ascii="宋体" w:hAnsi="宋体" w:cs="宋体"/>
          <w:sz w:val="31"/>
          <w:szCs w:val="31"/>
        </w:rPr>
      </w:r>
      <w:r/>
    </w:p>
    <w:p>
      <w:pPr>
        <w:pStyle w:val="1011"/>
        <w:ind w:left="37" w:right="72" w:firstLine="424"/>
        <w:jc w:val="both"/>
        <w:spacing w:before="266" w:line="387" w:lineRule="auto"/>
        <w:rPr>
          <w:rFonts w:ascii="宋体" w:hAnsi="宋体" w:cs="宋体"/>
        </w:rPr>
      </w:pPr>
      <w:r>
        <w:rPr>
          <w:rFonts w:ascii="宋体" w:hAnsi="宋体" w:cs="宋体"/>
          <w:u w:val="none"/>
        </w:rPr>
        <w:t xml:space="preserve">受</w:t>
      </w:r>
      <w:r>
        <w:rPr>
          <w:rFonts w:ascii="宋体" w:hAnsi="宋体" w:cs="宋体"/>
          <w:u w:val="none"/>
        </w:rPr>
        <w:t xml:space="preserve">苏州市吴江区人民政府横扇街道办事处</w:t>
      </w:r>
      <w:r>
        <w:rPr>
          <w:rFonts w:ascii="宋体" w:hAnsi="宋体" w:cs="宋体"/>
          <w:u w:val="none"/>
        </w:rPr>
        <w:t xml:space="preserve">的委托，</w:t>
      </w:r>
      <w:r>
        <w:rPr>
          <w:rFonts w:ascii="宋体" w:hAnsi="宋体" w:cs="宋体"/>
          <w:spacing w:val="-1"/>
          <w:u w:val="none"/>
        </w:rPr>
        <w:t xml:space="preserve">苏州常发工程咨询有限公司</w:t>
      </w:r>
      <w:r>
        <w:rPr>
          <w:rFonts w:ascii="宋体" w:hAnsi="宋体" w:cs="宋体"/>
          <w:spacing w:val="-1"/>
          <w:u w:val="none"/>
        </w:rPr>
        <w:t xml:space="preserve">就其所需的</w:t>
      </w:r>
      <w:bookmarkStart w:id="15" w:name="OLE_LINK32"/>
      <w:r>
        <w:rPr>
          <w:rFonts w:ascii="Times New Roman" w:hAnsi="Times New Roman" w:eastAsia="Times New Roman" w:cs="Times New Roman"/>
          <w:spacing w:val="-1"/>
          <w:u w:val="none"/>
        </w:rPr>
        <w:t xml:space="preserve">2025</w:t>
      </w:r>
      <w:r>
        <w:rPr>
          <w:rFonts w:hint="eastAsia" w:ascii="宋体" w:hAnsi="宋体" w:cs="宋体"/>
          <w:spacing w:val="-1"/>
          <w:u w:val="none"/>
        </w:rPr>
        <w:t xml:space="preserve">年横扇街道生活垃圾填埋场渗滤液委托处置服务</w:t>
      </w:r>
      <w:bookmarkEnd w:id="15"/>
      <w:r>
        <w:rPr>
          <w:rFonts w:ascii="宋体" w:hAnsi="宋体" w:cs="宋体"/>
          <w:u w:val="none"/>
        </w:rPr>
        <w:t xml:space="preserve">项目</w:t>
      </w:r>
      <w:r>
        <w:rPr>
          <w:rFonts w:ascii="宋体" w:hAnsi="宋体" w:cs="宋体"/>
          <w:spacing w:val="-1"/>
          <w:u w:val="none"/>
        </w:rPr>
        <w:t xml:space="preserve">采用</w:t>
      </w:r>
      <w:r>
        <w:rPr>
          <w:rFonts w:ascii="宋体" w:hAnsi="宋体" w:cs="宋体"/>
          <w:spacing w:val="-1"/>
          <w:u w:val="none"/>
        </w:rPr>
        <w:t xml:space="preserve">公开招标</w:t>
      </w:r>
      <w:r>
        <w:rPr>
          <w:rFonts w:ascii="宋体" w:hAnsi="宋体" w:cs="宋体"/>
          <w:spacing w:val="-1"/>
          <w:u w:val="none"/>
        </w:rPr>
        <w:t xml:space="preserve">方式进行采购，欢迎符合</w:t>
      </w:r>
      <w:r>
        <w:rPr>
          <w:rFonts w:ascii="宋体" w:hAnsi="宋体" w:cs="宋体"/>
          <w:spacing w:val="-1"/>
        </w:rPr>
        <w:t xml:space="preserve">资格条件的供应商前</w:t>
      </w:r>
      <w:r>
        <w:rPr>
          <w:rFonts w:ascii="宋体" w:hAnsi="宋体" w:cs="宋体"/>
          <w:spacing w:val="-2"/>
        </w:rPr>
        <w:t xml:space="preserve">来参加。</w:t>
      </w:r>
      <w:r>
        <w:rPr>
          <w:rFonts w:ascii="宋体" w:hAnsi="宋体" w:cs="宋体"/>
        </w:rPr>
      </w:r>
      <w:r/>
    </w:p>
    <w:p>
      <w:pPr>
        <w:pStyle w:val="1011"/>
        <w:ind w:left="462"/>
        <w:spacing w:line="220" w:lineRule="auto"/>
        <w:rPr>
          <w:rFonts w:ascii="宋体" w:hAnsi="宋体" w:cs="宋体"/>
        </w:rPr>
      </w:pPr>
      <w:r>
        <w:rPr>
          <w:rFonts w:ascii="宋体" w:hAnsi="宋体" w:cs="宋体"/>
          <w:b/>
          <w:bCs/>
          <w:spacing w:val="-4"/>
        </w:rPr>
        <w:t xml:space="preserve">一、项目基本情况</w:t>
      </w:r>
      <w:r>
        <w:rPr>
          <w:rFonts w:ascii="宋体" w:hAnsi="宋体" w:cs="宋体"/>
        </w:rPr>
      </w:r>
      <w:r/>
    </w:p>
    <w:p>
      <w:pPr>
        <w:pStyle w:val="1011"/>
        <w:ind w:left="460"/>
        <w:spacing w:before="188" w:line="220" w:lineRule="auto"/>
        <w:rPr>
          <w:rFonts w:ascii="宋体" w:hAnsi="宋体" w:cs="宋体"/>
          <w:spacing w:val="-1"/>
        </w:rPr>
      </w:pPr>
      <w:r>
        <w:rPr>
          <w:rFonts w:hint="eastAsia" w:ascii="宋体" w:hAnsi="宋体" w:cs="宋体"/>
          <w:spacing w:val="-1"/>
        </w:rPr>
        <w:t xml:space="preserve">1、</w:t>
      </w:r>
      <w:r>
        <w:rPr>
          <w:rFonts w:ascii="宋体" w:hAnsi="宋体" w:cs="宋体"/>
          <w:spacing w:val="-1"/>
        </w:rPr>
        <w:t xml:space="preserve">项目编号：</w:t>
      </w:r>
      <w:r>
        <w:rPr>
          <w:rFonts w:hint="eastAsia" w:ascii="宋体" w:hAnsi="宋体" w:cs="宋体"/>
          <w:spacing w:val="-1"/>
        </w:rPr>
        <w:t xml:space="preserve">JSZC-320509-SZCF-G2025-0005</w:t>
      </w:r>
      <w:r>
        <w:rPr>
          <w:rFonts w:ascii="宋体" w:hAnsi="宋体" w:cs="宋体"/>
          <w:spacing w:val="-1"/>
        </w:rPr>
      </w:r>
      <w:r/>
    </w:p>
    <w:p>
      <w:pPr>
        <w:pStyle w:val="1011"/>
        <w:ind w:left="460"/>
        <w:spacing w:before="191" w:line="221" w:lineRule="auto"/>
        <w:rPr>
          <w:rFonts w:ascii="宋体" w:hAnsi="宋体" w:cs="宋体"/>
        </w:rPr>
      </w:pPr>
      <w:r>
        <w:rPr>
          <w:rFonts w:hint="eastAsia" w:ascii="宋体" w:hAnsi="宋体" w:cs="宋体"/>
          <w:spacing w:val="-1"/>
        </w:rPr>
        <w:t xml:space="preserve">2、</w:t>
      </w:r>
      <w:r>
        <w:rPr>
          <w:rFonts w:ascii="宋体" w:hAnsi="宋体" w:cs="宋体"/>
          <w:spacing w:val="-1"/>
        </w:rPr>
        <w:t xml:space="preserve">项目名称：2025年横扇街道生活垃圾填埋场渗滤液委托处置服务</w:t>
      </w:r>
      <w:r>
        <w:rPr>
          <w:rFonts w:ascii="宋体" w:hAnsi="宋体" w:cs="宋体"/>
        </w:rPr>
      </w:r>
      <w:r/>
    </w:p>
    <w:p>
      <w:pPr>
        <w:pStyle w:val="1011"/>
        <w:ind w:left="456"/>
        <w:spacing w:before="188" w:line="221" w:lineRule="auto"/>
        <w:rPr>
          <w:rFonts w:ascii="宋体" w:hAnsi="宋体" w:cs="宋体"/>
          <w:spacing w:val="-1"/>
        </w:rPr>
      </w:pPr>
      <w:r>
        <w:rPr>
          <w:rFonts w:hint="eastAsia" w:ascii="宋体" w:hAnsi="宋体" w:cs="宋体"/>
          <w:spacing w:val="-1"/>
        </w:rPr>
        <w:t xml:space="preserve">3、</w:t>
      </w:r>
      <w:r>
        <w:rPr>
          <w:rFonts w:ascii="宋体" w:hAnsi="宋体" w:cs="宋体"/>
          <w:spacing w:val="-1"/>
        </w:rPr>
        <w:t xml:space="preserve">采购方式：公开招标</w:t>
      </w:r>
      <w:r/>
    </w:p>
    <w:p>
      <w:pPr>
        <w:pStyle w:val="1011"/>
        <w:ind w:left="458"/>
        <w:spacing w:before="190" w:line="221" w:lineRule="auto"/>
        <w:rPr>
          <w:rFonts w:ascii="宋体" w:hAnsi="宋体" w:cs="宋体"/>
        </w:rPr>
      </w:pPr>
      <w:r>
        <w:rPr>
          <w:rFonts w:hint="eastAsia" w:ascii="宋体" w:hAnsi="宋体" w:cs="宋体"/>
          <w:spacing w:val="-1"/>
        </w:rPr>
        <w:t xml:space="preserve">4、</w:t>
      </w:r>
      <w:r>
        <w:rPr>
          <w:rFonts w:ascii="宋体" w:hAnsi="宋体" w:cs="宋体"/>
          <w:spacing w:val="-1"/>
        </w:rPr>
        <w:t xml:space="preserve">预算金额：</w:t>
      </w:r>
      <w:bookmarkStart w:id="16" w:name="OLE_LINK33"/>
      <w:r>
        <w:rPr>
          <w:rFonts w:ascii="宋体" w:hAnsi="宋体" w:cs="宋体"/>
          <w:spacing w:val="-1"/>
        </w:rPr>
        <w:t xml:space="preserve">人民币陆佰万元整</w:t>
      </w:r>
      <w:r>
        <w:rPr>
          <w:rFonts w:ascii="宋体" w:hAnsi="宋体" w:cs="宋体"/>
          <w:spacing w:val="-1"/>
        </w:rPr>
        <w:t xml:space="preserve">（小写:</w:t>
      </w:r>
      <w:r>
        <w:rPr>
          <w:rFonts w:hint="eastAsia" w:ascii="宋体" w:hAnsi="宋体" w:cs="宋体"/>
          <w:spacing w:val="-1"/>
        </w:rPr>
        <w:t xml:space="preserve">6000000.00</w:t>
      </w:r>
      <w:r>
        <w:rPr>
          <w:rFonts w:ascii="宋体" w:hAnsi="宋体" w:cs="宋体"/>
          <w:spacing w:val="-1"/>
        </w:rPr>
        <w:t xml:space="preserve">元）</w:t>
      </w:r>
      <w:bookmarkEnd w:id="16"/>
      <w:r>
        <w:rPr>
          <w:rFonts w:ascii="宋体" w:hAnsi="宋体" w:cs="宋体"/>
        </w:rPr>
      </w:r>
      <w:r/>
    </w:p>
    <w:p>
      <w:pPr>
        <w:pStyle w:val="1011"/>
        <w:ind w:left="459"/>
        <w:spacing w:before="188" w:line="220" w:lineRule="auto"/>
        <w:rPr>
          <w:rFonts w:ascii="宋体" w:hAnsi="宋体" w:cs="宋体"/>
        </w:rPr>
      </w:pPr>
      <w:r/>
      <w:bookmarkStart w:id="17" w:name="OLE_LINK1"/>
      <w:r/>
      <w:bookmarkStart w:id="18" w:name="OLE_LINK2"/>
      <w:r/>
      <w:bookmarkStart w:id="19" w:name="OLE_LINK34"/>
      <w:r>
        <w:rPr>
          <w:rFonts w:hint="eastAsia" w:ascii="宋体" w:hAnsi="宋体" w:cs="宋体"/>
          <w:spacing w:val="-1"/>
        </w:rPr>
        <w:t xml:space="preserve">5、</w:t>
      </w:r>
      <w:r>
        <w:rPr>
          <w:rFonts w:ascii="宋体" w:hAnsi="宋体" w:cs="宋体"/>
          <w:spacing w:val="-1"/>
        </w:rPr>
        <w:t xml:space="preserve">综合单价最高限价：</w:t>
      </w:r>
      <w:bookmarkStart w:id="20" w:name="OLE_LINK15"/>
      <w:r/>
      <w:bookmarkStart w:id="21" w:name="OLE_LINK4"/>
      <w:r>
        <w:rPr>
          <w:rFonts w:hint="eastAsia" w:ascii="宋体" w:hAnsi="宋体" w:cs="宋体"/>
          <w:spacing w:val="-1"/>
        </w:rPr>
        <w:t xml:space="preserve">1</w:t>
      </w:r>
      <w:r>
        <w:rPr>
          <w:rFonts w:hint="eastAsia" w:ascii="宋体" w:hAnsi="宋体" w:cs="宋体"/>
          <w:spacing w:val="-1"/>
        </w:rPr>
        <w:t xml:space="preserve">36.9</w:t>
      </w:r>
      <w:r>
        <w:rPr>
          <w:rFonts w:hint="eastAsia" w:ascii="宋体" w:hAnsi="宋体" w:cs="宋体"/>
          <w:spacing w:val="-1"/>
        </w:rPr>
        <w:t xml:space="preserve">9元</w:t>
      </w:r>
      <w:bookmarkEnd w:id="20"/>
      <w:r>
        <w:rPr>
          <w:rFonts w:hint="eastAsia" w:ascii="宋体" w:hAnsi="宋体" w:cs="宋体"/>
          <w:spacing w:val="-1"/>
        </w:rPr>
        <w:t xml:space="preserve">/吨</w:t>
      </w:r>
      <w:bookmarkEnd w:id="17"/>
      <w:r/>
      <w:bookmarkEnd w:id="18"/>
      <w:r/>
      <w:bookmarkEnd w:id="19"/>
      <w:r/>
      <w:bookmarkEnd w:id="21"/>
      <w:r>
        <w:rPr>
          <w:rFonts w:ascii="宋体" w:hAnsi="宋体" w:cs="宋体"/>
        </w:rPr>
      </w:r>
      <w:r/>
    </w:p>
    <w:p>
      <w:pPr>
        <w:pStyle w:val="1011"/>
        <w:ind w:left="40" w:firstLine="415"/>
        <w:jc w:val="both"/>
        <w:spacing w:before="190" w:line="387" w:lineRule="auto"/>
        <w:rPr>
          <w:rFonts w:ascii="宋体" w:hAnsi="宋体" w:cs="宋体"/>
        </w:rPr>
      </w:pPr>
      <w:r/>
      <w:bookmarkStart w:id="22" w:name="OLE_LINK35"/>
      <w:r>
        <w:rPr>
          <w:rFonts w:hint="eastAsia" w:ascii="宋体" w:hAnsi="宋体" w:cs="宋体"/>
          <w:spacing w:val="-1"/>
        </w:rPr>
        <w:t xml:space="preserve">6、</w:t>
      </w:r>
      <w:r>
        <w:rPr>
          <w:rFonts w:ascii="宋体" w:hAnsi="宋体" w:cs="宋体"/>
          <w:spacing w:val="-1"/>
        </w:rPr>
        <w:t xml:space="preserve">采购需求：2025年横扇街道生活垃圾填埋场渗滤液委托处置服务，</w:t>
      </w:r>
      <w:r>
        <w:rPr>
          <w:rFonts w:hint="eastAsia" w:ascii="宋体" w:hAnsi="宋体" w:cs="宋体"/>
          <w:spacing w:val="-1"/>
        </w:rPr>
        <w:t xml:space="preserve">渗滤液设备处置能力达到</w:t>
      </w:r>
      <w:r>
        <w:rPr>
          <w:rFonts w:ascii="Times New Roman" w:hAnsi="Times New Roman" w:eastAsia="Times New Roman" w:cs="Times New Roman"/>
          <w:spacing w:val="-5"/>
        </w:rPr>
        <w:t xml:space="preserve">40</w:t>
      </w:r>
      <w:r>
        <w:rPr>
          <w:rFonts w:hint="eastAsia" w:ascii="宋体" w:hAnsi="宋体" w:cs="宋体"/>
          <w:spacing w:val="-5"/>
        </w:rPr>
        <w:t xml:space="preserve">吨</w:t>
      </w:r>
      <w:r>
        <w:rPr>
          <w:rFonts w:ascii="Times New Roman" w:hAnsi="Times New Roman" w:eastAsia="Times New Roman" w:cs="Times New Roman"/>
          <w:spacing w:val="-5"/>
        </w:rPr>
        <w:t xml:space="preserve">/</w:t>
      </w:r>
      <w:r>
        <w:rPr>
          <w:rFonts w:hint="eastAsia" w:ascii="宋体" w:hAnsi="宋体" w:cs="宋体"/>
          <w:spacing w:val="-5"/>
        </w:rPr>
        <w:t xml:space="preserve">天的渗滤液</w:t>
      </w:r>
      <w:r>
        <w:rPr>
          <w:rFonts w:ascii="宋体" w:hAnsi="宋体" w:cs="宋体"/>
          <w:spacing w:val="-2"/>
        </w:rPr>
        <w:t xml:space="preserve">（具体根据</w:t>
      </w:r>
      <w:r>
        <w:rPr>
          <w:rFonts w:ascii="宋体" w:hAnsi="宋体" w:cs="宋体"/>
        </w:rPr>
        <w:t xml:space="preserve">该项目的实际渗滤液存量情况</w:t>
      </w:r>
      <w:r>
        <w:rPr>
          <w:rFonts w:ascii="宋体" w:hAnsi="宋体" w:cs="宋体"/>
          <w:spacing w:val="-7"/>
        </w:rPr>
        <w:t xml:space="preserve">），</w:t>
      </w:r>
      <w:r>
        <w:rPr>
          <w:rFonts w:ascii="宋体" w:hAnsi="宋体" w:cs="宋体"/>
        </w:rPr>
        <w:t xml:space="preserve">要求渗滤液废水处理设施设备系</w:t>
      </w:r>
      <w:r>
        <w:rPr>
          <w:rFonts w:ascii="宋体" w:hAnsi="宋体" w:cs="宋体"/>
          <w:spacing w:val="-1"/>
        </w:rPr>
        <w:t xml:space="preserve">统采用无易燃易爆安全隐患的工艺流程</w:t>
      </w:r>
      <w:r>
        <w:rPr>
          <w:rFonts w:ascii="宋体" w:hAnsi="宋体" w:cs="宋体"/>
          <w:spacing w:val="1"/>
        </w:rPr>
        <w:t xml:space="preserve">处理，具体处理工艺不限，但要求无浓缩液产生，且确保出水水质达到国家及地方规定的出水排放</w:t>
      </w:r>
      <w:r>
        <w:rPr>
          <w:rFonts w:ascii="宋体" w:hAnsi="宋体" w:cs="宋体"/>
        </w:rPr>
        <w:t xml:space="preserve">要求。 </w:t>
      </w:r>
      <w:r>
        <w:rPr>
          <w:rFonts w:ascii="宋体" w:hAnsi="宋体" w:cs="宋体"/>
          <w:spacing w:val="-2"/>
        </w:rPr>
        <w:t xml:space="preserve">（具体详见采购文件第四章）</w:t>
      </w:r>
      <w:r>
        <w:rPr>
          <w:rFonts w:ascii="宋体" w:hAnsi="宋体" w:cs="宋体"/>
        </w:rPr>
      </w:r>
      <w:r/>
    </w:p>
    <w:p>
      <w:pPr>
        <w:pStyle w:val="1011"/>
        <w:ind w:left="42" w:right="71" w:firstLine="415"/>
        <w:jc w:val="both"/>
        <w:spacing w:before="3" w:line="386" w:lineRule="auto"/>
        <w:rPr>
          <w:rFonts w:ascii="宋体" w:hAnsi="宋体" w:cs="宋体"/>
          <w:spacing w:val="-1"/>
        </w:rPr>
      </w:pPr>
      <w:r>
        <w:rPr>
          <w:rFonts w:hint="eastAsia" w:ascii="宋体" w:hAnsi="宋体" w:cs="宋体"/>
        </w:rPr>
        <w:t xml:space="preserve">7、</w:t>
      </w:r>
      <w:r>
        <w:rPr>
          <w:rFonts w:ascii="宋体" w:hAnsi="宋体" w:cs="宋体"/>
        </w:rPr>
        <w:t xml:space="preserve">合同履行期限：合同签订之日起90天内完成该项目全部渗滤液处理服务运行所需系统设备的安装调试并确保试运行验收合格，要求渗滤液处理</w:t>
      </w:r>
      <w:r>
        <w:rPr>
          <w:rFonts w:hint="eastAsia" w:ascii="宋体" w:hAnsi="宋体" w:cs="宋体"/>
        </w:rPr>
        <w:t xml:space="preserve">设备的处置能力达到</w:t>
      </w:r>
      <w:r>
        <w:rPr>
          <w:rFonts w:ascii="宋体" w:hAnsi="宋体" w:cs="宋体"/>
        </w:rPr>
        <w:t xml:space="preserve">40吨/天，且处理规模须满足垃圾填埋场实际渗滤液量的要求。渗滤液处置服务期限为自试运行验收合格之日起三年（</w:t>
      </w:r>
      <w:r>
        <w:rPr>
          <w:rFonts w:ascii="宋体" w:hAnsi="宋体" w:cs="宋体"/>
          <w:spacing w:val="-1"/>
        </w:rPr>
        <w:t xml:space="preserve">具体按合同约定）。</w:t>
      </w:r>
      <w:r/>
    </w:p>
    <w:p>
      <w:pPr>
        <w:pStyle w:val="1011"/>
        <w:ind w:left="42" w:right="71" w:firstLine="415"/>
        <w:jc w:val="both"/>
        <w:spacing w:before="3" w:line="386" w:lineRule="auto"/>
        <w:rPr>
          <w:rFonts w:ascii="宋体" w:hAnsi="宋体" w:cs="宋体"/>
        </w:rPr>
      </w:pPr>
      <w:r>
        <w:rPr>
          <w:rFonts w:hint="eastAsia" w:ascii="宋体" w:hAnsi="宋体" w:cs="宋体"/>
          <w:spacing w:val="-1"/>
        </w:rPr>
        <w:t xml:space="preserve">8、</w:t>
      </w:r>
      <w:r>
        <w:rPr>
          <w:rFonts w:hint="eastAsia" w:ascii="宋体" w:hAnsi="宋体" w:cs="宋体"/>
          <w:bCs/>
        </w:rPr>
        <w:t xml:space="preserve">验收标准：根据采购文件、响应文件、合同及国家行业相关标准由采购人验收。</w:t>
      </w:r>
      <w:bookmarkEnd w:id="22"/>
      <w:r>
        <w:rPr>
          <w:rFonts w:ascii="宋体" w:hAnsi="宋体" w:cs="宋体"/>
        </w:rPr>
      </w:r>
      <w:r/>
    </w:p>
    <w:p>
      <w:pPr>
        <w:pStyle w:val="1011"/>
        <w:ind w:left="458"/>
        <w:spacing w:before="1" w:line="220" w:lineRule="auto"/>
        <w:rPr>
          <w:rFonts w:ascii="宋体" w:hAnsi="宋体" w:cs="宋体"/>
        </w:rPr>
      </w:pPr>
      <w:r>
        <w:rPr>
          <w:rFonts w:hint="eastAsia" w:ascii="宋体" w:hAnsi="宋体" w:cs="宋体"/>
          <w:spacing w:val="-2"/>
        </w:rPr>
        <w:t xml:space="preserve">9、</w:t>
      </w:r>
      <w:r>
        <w:rPr>
          <w:rFonts w:ascii="宋体" w:hAnsi="宋体" w:cs="宋体"/>
          <w:spacing w:val="-2"/>
        </w:rPr>
        <w:t xml:space="preserve">本项目不接受联合体投标，且不允许转包、分包。</w:t>
      </w:r>
      <w:r>
        <w:rPr>
          <w:rFonts w:ascii="宋体" w:hAnsi="宋体" w:cs="宋体"/>
        </w:rPr>
      </w:r>
      <w:r/>
    </w:p>
    <w:p>
      <w:pPr>
        <w:pStyle w:val="1011"/>
        <w:ind w:left="462"/>
        <w:spacing w:before="188" w:line="221" w:lineRule="auto"/>
        <w:rPr>
          <w:rFonts w:ascii="宋体" w:hAnsi="宋体" w:cs="宋体"/>
        </w:rPr>
      </w:pPr>
      <w:r/>
      <w:bookmarkStart w:id="23" w:name="OLE_LINK36"/>
      <w:r>
        <w:rPr>
          <w:rFonts w:ascii="宋体" w:hAnsi="宋体" w:cs="宋体"/>
          <w:b/>
          <w:bCs/>
          <w:spacing w:val="-3"/>
        </w:rPr>
        <w:t xml:space="preserve">二、申请人的资格要求</w:t>
      </w:r>
      <w:r>
        <w:rPr>
          <w:rFonts w:ascii="宋体" w:hAnsi="宋体" w:cs="宋体"/>
        </w:rPr>
      </w:r>
      <w:r/>
    </w:p>
    <w:p>
      <w:pPr>
        <w:pStyle w:val="1011"/>
        <w:ind w:left="42" w:right="71" w:firstLine="415"/>
        <w:jc w:val="both"/>
        <w:spacing w:before="3" w:line="386" w:lineRule="auto"/>
        <w:rPr>
          <w:rFonts w:ascii="宋体" w:hAnsi="宋体" w:cs="宋体"/>
        </w:rPr>
      </w:pPr>
      <w:r>
        <w:rPr>
          <w:rFonts w:ascii="宋体" w:hAnsi="宋体" w:cs="宋体"/>
        </w:rPr>
        <w:t xml:space="preserve">1. 满足《中华人民共和国政府采购法》第二十二条规定：</w:t>
      </w:r>
      <w:r/>
    </w:p>
    <w:p>
      <w:pPr>
        <w:pStyle w:val="1011"/>
        <w:ind w:left="42" w:right="71" w:firstLine="415"/>
        <w:jc w:val="both"/>
        <w:spacing w:before="3" w:line="386" w:lineRule="auto"/>
        <w:rPr>
          <w:rFonts w:ascii="宋体" w:hAnsi="宋体" w:cs="宋体"/>
        </w:rPr>
      </w:pPr>
      <w:r>
        <w:rPr>
          <w:rFonts w:ascii="宋体" w:hAnsi="宋体" w:cs="宋体"/>
        </w:rPr>
        <w:t xml:space="preserve">1.1具有独立承担民事责任的能力；</w:t>
      </w:r>
      <w:r/>
    </w:p>
    <w:p>
      <w:pPr>
        <w:pStyle w:val="1011"/>
        <w:ind w:left="42" w:right="71" w:firstLine="415"/>
        <w:jc w:val="both"/>
        <w:spacing w:before="3" w:line="386" w:lineRule="auto"/>
        <w:rPr>
          <w:rFonts w:ascii="宋体" w:hAnsi="宋体" w:cs="宋体"/>
        </w:rPr>
      </w:pPr>
      <w:r>
        <w:rPr>
          <w:rFonts w:ascii="宋体" w:hAnsi="宋体" w:cs="宋体"/>
        </w:rPr>
        <w:t xml:space="preserve">1.2具有良好的商业信誉和健全的财务会计制度；</w:t>
      </w:r>
      <w:r/>
    </w:p>
    <w:p>
      <w:pPr>
        <w:pStyle w:val="1011"/>
        <w:ind w:left="42" w:right="71" w:firstLine="415"/>
        <w:jc w:val="both"/>
        <w:spacing w:before="3" w:line="386" w:lineRule="auto"/>
        <w:rPr>
          <w:rFonts w:ascii="宋体" w:hAnsi="宋体" w:cs="宋体"/>
        </w:rPr>
      </w:pPr>
      <w:r>
        <w:rPr>
          <w:rFonts w:ascii="宋体" w:hAnsi="宋体" w:cs="宋体"/>
        </w:rPr>
        <w:t xml:space="preserve">1.3具有履行合同所必需的设备和专业技术能力；</w:t>
      </w:r>
      <w:r/>
    </w:p>
    <w:p>
      <w:pPr>
        <w:pStyle w:val="1011"/>
        <w:ind w:left="42" w:right="71" w:firstLine="415"/>
        <w:jc w:val="both"/>
        <w:spacing w:before="3" w:line="386" w:lineRule="auto"/>
        <w:rPr>
          <w:rFonts w:ascii="宋体" w:hAnsi="宋体" w:cs="宋体"/>
        </w:rPr>
      </w:pPr>
      <w:r>
        <w:rPr>
          <w:rFonts w:ascii="宋体" w:hAnsi="宋体" w:cs="宋体"/>
        </w:rPr>
        <w:t xml:space="preserve">1.4有依法缴纳税收和社会保障资金的良好记录；</w:t>
      </w:r>
      <w:r/>
    </w:p>
    <w:p>
      <w:pPr>
        <w:pStyle w:val="1011"/>
        <w:ind w:left="42" w:right="71" w:firstLine="415"/>
        <w:jc w:val="both"/>
        <w:spacing w:before="3" w:line="386" w:lineRule="auto"/>
        <w:rPr>
          <w:rFonts w:ascii="宋体" w:hAnsi="宋体" w:cs="宋体"/>
        </w:rPr>
      </w:pPr>
      <w:r>
        <w:rPr>
          <w:rFonts w:ascii="宋体" w:hAnsi="宋体" w:cs="宋体"/>
        </w:rPr>
        <w:t xml:space="preserve">1.5参加政府采购活动前三年内，在经营活动中没有重大违法记录；</w:t>
      </w:r>
      <w:r/>
    </w:p>
    <w:p>
      <w:pPr>
        <w:pStyle w:val="1011"/>
        <w:ind w:left="42" w:right="71" w:firstLine="415"/>
        <w:jc w:val="both"/>
        <w:spacing w:before="3" w:line="386" w:lineRule="auto"/>
        <w:rPr>
          <w:rFonts w:ascii="宋体" w:hAnsi="宋体" w:cs="宋体"/>
        </w:rPr>
      </w:pPr>
      <w:r>
        <w:rPr>
          <w:rFonts w:ascii="宋体" w:hAnsi="宋体" w:cs="宋体"/>
        </w:rPr>
        <w:t xml:space="preserve">1.6法律、行政法规规定的其他条件。</w:t>
      </w:r>
      <w:bookmarkEnd w:id="23"/>
      <w:r>
        <w:rPr>
          <w:rFonts w:ascii="宋体" w:hAnsi="宋体" w:cs="宋体"/>
        </w:rPr>
      </w:r>
      <w:r/>
    </w:p>
    <w:p>
      <w:pPr>
        <w:pStyle w:val="1011"/>
        <w:ind w:left="42" w:right="71" w:firstLine="415"/>
        <w:jc w:val="both"/>
        <w:spacing w:before="3" w:line="386" w:lineRule="auto"/>
        <w:rPr>
          <w:rFonts w:ascii="宋体" w:hAnsi="宋体" w:cs="宋体"/>
          <w:b/>
          <w:bCs/>
        </w:rPr>
      </w:pPr>
      <w:r>
        <w:rPr>
          <w:rFonts w:ascii="宋体" w:hAnsi="宋体" w:cs="宋体"/>
        </w:rPr>
        <w:t xml:space="preserve">2.</w:t>
      </w:r>
      <w:bookmarkStart w:id="24" w:name="OLE_LINK74"/>
      <w:r/>
      <w:bookmarkStart w:id="25" w:name="OLE_LINK73"/>
      <w:r>
        <w:rPr>
          <w:rFonts w:hint="eastAsia" w:ascii="宋体" w:hAnsi="宋体" w:cs="宋体"/>
        </w:rPr>
        <w:t xml:space="preserve"> </w:t>
      </w:r>
      <w:r>
        <w:rPr>
          <w:rFonts w:hint="eastAsia" w:ascii="宋体" w:hAnsi="宋体" w:cs="宋体"/>
          <w:lang w:val="zh-CN"/>
        </w:rPr>
        <w:t xml:space="preserve">落实政府采购政策需满足的资格要求：</w:t>
      </w:r>
      <w:r>
        <w:rPr>
          <w:rFonts w:hint="eastAsia" w:ascii="宋体" w:hAnsi="宋体" w:cs="宋体"/>
          <w:b/>
          <w:bCs/>
        </w:rPr>
        <w:t xml:space="preserve">本项目非专门面向中小企业，根据《政府采购促进中小企业发展管理办法》（财库〔2020〕46号）及《中小企业划型标准规定》（工信部联企业〔2011〕300号），本采购标的对应的中小企业划分标准所属行业为：其他未列明行业。</w:t>
      </w:r>
      <w:r>
        <w:rPr>
          <w:rFonts w:ascii="宋体" w:hAnsi="宋体" w:cs="宋体"/>
          <w:b/>
          <w:bCs/>
        </w:rPr>
      </w:r>
      <w:r/>
    </w:p>
    <w:p>
      <w:pPr>
        <w:pStyle w:val="1011"/>
        <w:ind w:left="42" w:right="71" w:firstLine="415"/>
        <w:jc w:val="both"/>
        <w:spacing w:before="3" w:line="386" w:lineRule="auto"/>
        <w:rPr>
          <w:rFonts w:ascii="宋体" w:hAnsi="宋体" w:cs="宋体"/>
          <w:b/>
          <w:bCs/>
        </w:rPr>
      </w:pPr>
      <w:r>
        <w:rPr>
          <w:rFonts w:hint="eastAsia" w:ascii="宋体" w:hAnsi="宋体" w:cs="宋体"/>
          <w:b/>
          <w:bCs/>
          <w:lang w:val="zh-CN"/>
        </w:rPr>
        <w:t xml:space="preserve">注：对残疾人福利性单位、监狱企业视同小型、微型企业，但须按要求提供有关声明函或证明文件。</w:t>
      </w:r>
      <w:r>
        <w:rPr>
          <w:rFonts w:ascii="宋体" w:hAnsi="宋体" w:cs="宋体"/>
          <w:b/>
          <w:bCs/>
        </w:rPr>
      </w:r>
      <w:r/>
    </w:p>
    <w:p>
      <w:pPr>
        <w:pStyle w:val="1011"/>
        <w:ind w:left="42" w:right="71" w:firstLine="415"/>
        <w:jc w:val="both"/>
        <w:spacing w:before="3" w:line="386" w:lineRule="auto"/>
        <w:rPr>
          <w:rFonts w:ascii="宋体" w:hAnsi="宋体" w:cs="宋体"/>
        </w:rPr>
      </w:pPr>
      <w:r>
        <w:rPr>
          <w:rFonts w:ascii="宋体" w:hAnsi="宋体" w:cs="宋体"/>
        </w:rPr>
        <w:t xml:space="preserve">3.本项目的特定资格要求：</w:t>
      </w:r>
      <w:r/>
    </w:p>
    <w:p>
      <w:pPr>
        <w:ind w:left="42" w:right="71" w:firstLine="415"/>
        <w:jc w:val="both"/>
        <w:spacing w:before="3"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（1）未被“信用中国”网站（WWW.creditchina.gov.cn）或“中国政府采购网”网站（www.ccgp.gov.cn）列入失信被执行人、重大税收违法案件当事人名单、政府采购严重失信行为记录名单；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（2）单位负责人为同一人或者存在直接控股、管理关系的不同投标人，不得参加同一合同项下的政府采购活动。</w:t>
      </w:r>
      <w:r/>
    </w:p>
    <w:p>
      <w:pPr>
        <w:pStyle w:val="1011"/>
        <w:ind w:left="459"/>
        <w:spacing w:line="220" w:lineRule="auto"/>
        <w:rPr>
          <w:rFonts w:ascii="宋体" w:hAnsi="宋体" w:cs="宋体"/>
        </w:rPr>
      </w:pPr>
      <w:r>
        <w:rPr>
          <w:rFonts w:ascii="宋体" w:hAnsi="宋体" w:cs="宋体"/>
          <w:b/>
          <w:bCs/>
          <w:spacing w:val="-3"/>
        </w:rPr>
        <w:t xml:space="preserve">三、获取采购文件</w:t>
      </w:r>
      <w:r>
        <w:rPr>
          <w:rFonts w:ascii="宋体" w:hAnsi="宋体" w:cs="宋体"/>
        </w:rPr>
      </w:r>
      <w:r/>
    </w:p>
    <w:p>
      <w:pPr>
        <w:pStyle w:val="1011"/>
        <w:ind w:firstLine="420"/>
        <w:spacing w:line="360" w:lineRule="auto"/>
        <w:rPr>
          <w:rFonts w:hint="eastAsia" w:ascii="宋体" w:hAnsi="宋体" w:cs="宋体"/>
        </w:rPr>
      </w:pPr>
      <w:r/>
      <w:bookmarkStart w:id="28" w:name="OLE_LINK45"/>
      <w:r>
        <w:rPr>
          <w:rFonts w:hint="eastAsia" w:ascii="宋体" w:hAnsi="宋体" w:cs="宋体"/>
          <w:shd w:val="clear" w:color="auto" w:fill="ffffff"/>
        </w:rPr>
        <w:t xml:space="preserve">时间：自招标文件公告发布之日起5个工作日</w:t>
      </w:r>
      <w:r>
        <w:rPr>
          <w:rFonts w:hint="eastAsia" w:ascii="宋体" w:hAnsi="宋体" w:cs="宋体"/>
        </w:rPr>
      </w:r>
      <w:r/>
    </w:p>
    <w:p>
      <w:pPr>
        <w:pStyle w:val="1011"/>
        <w:ind w:firstLine="420"/>
        <w:spacing w:line="360" w:lineRule="auto"/>
        <w:rPr>
          <w:rFonts w:hint="eastAsia" w:ascii="宋体" w:hAnsi="宋体" w:cs="宋体"/>
          <w:shd w:val="clear" w:color="auto" w:fill="ffffff"/>
        </w:rPr>
      </w:pPr>
      <w:r>
        <w:rPr>
          <w:rFonts w:hint="eastAsia" w:ascii="宋体" w:hAnsi="宋体" w:cs="宋体"/>
          <w:shd w:val="clear" w:color="auto" w:fill="ffffff"/>
        </w:rPr>
        <w:t xml:space="preserve">地点：苏采云系统 </w:t>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方式：苏采云系统网上下载 </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售价：0.00元 </w:t>
      </w:r>
      <w:r>
        <w:rPr>
          <w:rFonts w:hint="eastAsia" w:ascii="宋体" w:hAnsi="宋体" w:cs="宋体"/>
        </w:rPr>
      </w:r>
      <w:r/>
    </w:p>
    <w:p>
      <w:pPr>
        <w:pStyle w:val="1011"/>
        <w:ind w:firstLine="420"/>
        <w:spacing w:line="360" w:lineRule="auto"/>
        <w:rPr>
          <w:rFonts w:hint="eastAsia" w:ascii="宋体" w:hAnsi="宋体" w:cs="宋体"/>
          <w:b/>
          <w:bCs/>
        </w:rPr>
        <w:pBdr>
          <w:top w:val="none" w:color="000000" w:sz="4" w:space="0"/>
          <w:left w:val="none" w:color="000000" w:sz="4" w:space="0"/>
          <w:bottom w:val="none" w:color="000000" w:sz="4" w:space="0"/>
          <w:right w:val="none" w:color="000000" w:sz="4" w:space="0"/>
        </w:pBdr>
      </w:pPr>
      <w:r>
        <w:rPr>
          <w:rFonts w:hint="eastAsia" w:ascii="宋体" w:hAnsi="宋体" w:cs="宋体"/>
          <w:b/>
          <w:bCs/>
          <w:shd w:val="clear" w:color="auto" w:fill="ffffff"/>
        </w:rPr>
        <w:t xml:space="preserve">四、提交投标文件截止时间、开标时间和地点</w:t>
      </w:r>
      <w:r>
        <w:rPr>
          <w:rFonts w:hint="eastAsia" w:ascii="宋体" w:hAnsi="宋体" w:cs="宋体"/>
          <w:b/>
          <w:bCs/>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2025-12-24 13:30 （北京时间）</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地点：苏采云系统 </w:t>
      </w:r>
      <w:r>
        <w:rPr>
          <w:rFonts w:hint="eastAsia" w:ascii="宋体" w:hAnsi="宋体" w:cs="宋体"/>
        </w:rPr>
      </w:r>
      <w:r/>
    </w:p>
    <w:p>
      <w:pPr>
        <w:pStyle w:val="1011"/>
        <w:ind w:firstLine="420"/>
        <w:spacing w:line="360" w:lineRule="auto"/>
        <w:rPr>
          <w:rFonts w:hint="eastAsia" w:ascii="宋体" w:hAnsi="宋体" w:cs="宋体"/>
          <w:b/>
          <w:bCs/>
        </w:rPr>
        <w:pBdr>
          <w:top w:val="none" w:color="000000" w:sz="4" w:space="0"/>
          <w:left w:val="none" w:color="000000" w:sz="4" w:space="0"/>
          <w:bottom w:val="none" w:color="000000" w:sz="4" w:space="0"/>
          <w:right w:val="none" w:color="000000" w:sz="4" w:space="0"/>
        </w:pBdr>
      </w:pPr>
      <w:r>
        <w:rPr>
          <w:rFonts w:hint="eastAsia" w:ascii="宋体" w:hAnsi="宋体" w:cs="宋体"/>
          <w:b/>
          <w:bCs/>
          <w:shd w:val="clear" w:color="auto" w:fill="ffffff"/>
        </w:rPr>
        <w:t xml:space="preserve">五、公告期限</w:t>
      </w:r>
      <w:r>
        <w:rPr>
          <w:rFonts w:hint="eastAsia" w:ascii="宋体" w:hAnsi="宋体" w:cs="宋体"/>
          <w:b/>
          <w:bCs/>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自本公告发布之日起5个工作日。</w:t>
      </w:r>
      <w:r>
        <w:rPr>
          <w:rFonts w:hint="eastAsia" w:ascii="宋体" w:hAnsi="宋体" w:cs="宋体"/>
        </w:rPr>
      </w:r>
      <w:r/>
    </w:p>
    <w:p>
      <w:pPr>
        <w:pStyle w:val="1011"/>
        <w:ind w:firstLine="420"/>
        <w:spacing w:line="360" w:lineRule="auto"/>
        <w:rPr>
          <w:rFonts w:hint="eastAsia" w:ascii="宋体" w:hAnsi="宋体" w:cs="宋体"/>
          <w:b/>
          <w:bCs/>
        </w:rPr>
        <w:pBdr>
          <w:top w:val="none" w:color="000000" w:sz="4" w:space="0"/>
          <w:left w:val="none" w:color="000000" w:sz="4" w:space="0"/>
          <w:bottom w:val="none" w:color="000000" w:sz="4" w:space="0"/>
          <w:right w:val="none" w:color="000000" w:sz="4" w:space="0"/>
        </w:pBdr>
      </w:pPr>
      <w:r>
        <w:rPr>
          <w:rFonts w:hint="eastAsia" w:ascii="宋体" w:hAnsi="宋体" w:cs="宋体"/>
          <w:b/>
          <w:bCs/>
          <w:shd w:val="clear" w:color="auto" w:fill="ffffff"/>
        </w:rPr>
        <w:t xml:space="preserve">六、其他补充事宜</w:t>
      </w:r>
      <w:r>
        <w:rPr>
          <w:rFonts w:hint="eastAsia" w:ascii="宋体" w:hAnsi="宋体" w:cs="宋体"/>
          <w:b/>
          <w:bCs/>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1、CA证书办理</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供应商</w:t>
      </w:r>
      <w:r>
        <w:rPr>
          <w:rFonts w:hint="eastAsia" w:ascii="宋体" w:hAnsi="宋体" w:cs="宋体"/>
          <w:shd w:val="clear" w:color="auto" w:fill="ffffff"/>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ascii="SimSun" w:hAnsi="SimSun" w:eastAsia="SimSun" w:cs="SimSun"/>
          <w:color w:val="000000"/>
          <w:sz w:val="21"/>
        </w:rPr>
        <w:t xml:space="preserve">苏州高新区邓尉路105号狮山科技馆1楼服务大厅</w:t>
      </w:r>
      <w:r>
        <w:rPr>
          <w:rFonts w:hint="eastAsia" w:ascii="宋体" w:hAnsi="宋体" w:cs="宋体"/>
          <w:shd w:val="clear" w:color="auto" w:fill="ffffff"/>
        </w:rPr>
        <w:t xml:space="preserve">，咨询电话：0512-69820834。</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2、参与采购活动</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3、电子投标准备</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注册咨询：18261002950；</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CA技术咨询电话：400-608-6099；</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签章使用问题：025-83633811、025-83633812、15380932027、15371015030；</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系统使用指导与咨询：0512-69820854；智能客服：登录苏采云系统后，联系系统右下方智能客服图标进行咨询。</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5、本次采购的相关信息刊登在苏州政府采购网、江苏政府采购网。</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6、有关本次招标的事项若存在变动或修改，敬请及时关注苏州市公共资源交易中心吴江分中心在“江苏政府采购网、苏州市政府采购网”发布的更正公告。</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7、现场勘察：为更好地了解现场情况,各投标供应商可自行现场勘察，未勘察现场的供应商成交后，不得以不完全了解现场情况为理由而向采购人提出任何索赔或其他要求，对此采购人不承担任何责任并将不作任何答复。</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8、质疑按《中华人民共和国财政部令第94号―政府采购质疑和投诉办法》中相关规定提出，供应商应在法定质疑期内一次性提出针对同一采购程序环节的质疑，质疑函（必须附政府采购投标报名确认单）现场提交或邮寄至本公司（不接收到付快递）。接收质疑函的联系信息如下：</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fldChar w:fldCharType="begin"/>
      </w:r>
      <w:r>
        <w:rPr>
          <w:rFonts w:hint="eastAsia" w:ascii="宋体" w:hAnsi="宋体" w:cs="宋体"/>
          <w:shd w:val="clear" w:color="auto" w:fill="ffffff"/>
        </w:rPr>
        <w:instrText xml:space="preserve"> HYPERLINK "https://czju.suzhou.gov.cn/zfcg/html/project/8ab64c00fb9a488f86c3bdc35d854e99.shtml" \o "https://czju.suzhou.gov.cn/zfcg/html/project/8ab64c00fb9a488f86c3bdc35d854e99.shtml" </w:instrText>
      </w:r>
      <w:r>
        <w:fldChar w:fldCharType="separate"/>
      </w:r>
      <w:r>
        <w:rPr>
          <w:rFonts w:hint="eastAsia" w:ascii="宋体" w:hAnsi="宋体" w:cs="宋体"/>
          <w:shd w:val="clear" w:color="auto" w:fill="ffffff"/>
        </w:rPr>
        <w:t xml:space="preserve">代理机构：苏州常发工程咨询有限公司</w:t>
      </w:r>
      <w:r>
        <w:fldChar w:fldCharType="end"/>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地址：苏州市吴中区越溪街道旺山村路和薛家湾路交叉口西南（原旺山幼儿园三楼）</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联系人：黄彬</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联系方式：0512-66359719</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响应单位提出书面质疑必须有理、有据，不得恶意质疑或提交虚假质疑。否则，一经查实，招标采购人有权依据政府采购的有关规定，报请政府采购监管部门对该响应单位进行相应的行政处罚。</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9、苏州吴江区政府采购办公室监督电话：0512-63982395</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10、本次采购的有关信息将在苏州市政府采购网、江苏政府采购网、中国政府采购网等媒体上发布，敬请留意。请响应单位报名领取本次采购文件后，认真阅读各项内容，并按采购文件的要求详细制作响应文件，并按以上确定的时间、地点准时参加招标。</w:t>
      </w:r>
      <w:r>
        <w:rPr>
          <w:rFonts w:hint="eastAsia" w:ascii="宋体" w:hAnsi="宋体" w:cs="宋体"/>
        </w:rPr>
      </w:r>
      <w:r/>
    </w:p>
    <w:p>
      <w:pPr>
        <w:pStyle w:val="1011"/>
        <w:ind w:firstLine="420"/>
        <w:spacing w:line="360" w:lineRule="auto"/>
        <w:rPr>
          <w:rFonts w:hint="eastAsia" w:ascii="宋体" w:hAnsi="宋体" w:cs="宋体"/>
          <w:b/>
          <w:bCs/>
        </w:rPr>
        <w:pBdr>
          <w:top w:val="none" w:color="000000" w:sz="4" w:space="0"/>
          <w:left w:val="none" w:color="000000" w:sz="4" w:space="0"/>
          <w:bottom w:val="none" w:color="000000" w:sz="4" w:space="0"/>
          <w:right w:val="none" w:color="000000" w:sz="4" w:space="0"/>
        </w:pBdr>
      </w:pPr>
      <w:r>
        <w:rPr>
          <w:rFonts w:hint="eastAsia" w:ascii="宋体" w:hAnsi="宋体" w:cs="宋体"/>
          <w:b/>
          <w:bCs/>
          <w:shd w:val="clear" w:color="auto" w:fill="ffffff"/>
        </w:rPr>
        <w:t xml:space="preserve">七、对本次招标提出询问，请按以下方式联系。</w:t>
      </w:r>
      <w:r>
        <w:rPr>
          <w:rFonts w:hint="eastAsia" w:ascii="宋体" w:hAnsi="宋体" w:cs="宋体"/>
          <w:b/>
          <w:bCs/>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1.采购人信息 </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单位名称：苏州市吴江区人民政府横扇街道办事处</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单位地址：江苏省苏州市吴江区横扇街道北举路228号</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联系人：吕小华</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联系电话：0512-63694066</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2.采购代理机构信息（如有）</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单位名称：苏州常发工程咨询有限公司</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单位地址：江苏省苏州市吴中区越溪街道旺山村路和薛家湾路交叉口西南（原旺山幼儿园三楼）</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联系人：黄彬</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联系电话：0512-66359719</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3.项目联系方式</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项目联系人：黄彬</w:t>
      </w:r>
      <w:r>
        <w:rPr>
          <w:rFonts w:hint="eastAsia" w:ascii="宋体" w:hAnsi="宋体" w:cs="宋体"/>
        </w:rPr>
      </w:r>
      <w:r/>
    </w:p>
    <w:p>
      <w:pPr>
        <w:pStyle w:val="1011"/>
        <w:ind w:firstLine="420"/>
        <w:spacing w:line="360" w:lineRule="auto"/>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hd w:val="clear" w:color="auto" w:fill="ffffff"/>
        </w:rPr>
        <w:t xml:space="preserve">电话：0512-66359719</w:t>
      </w:r>
      <w:r>
        <w:rPr>
          <w:rFonts w:hint="eastAsia" w:ascii="宋体" w:hAnsi="宋体" w:cs="宋体"/>
        </w:rPr>
      </w:r>
      <w:r/>
    </w:p>
    <w:p>
      <w:pPr>
        <w:pStyle w:val="1011"/>
        <w:ind w:right="945" w:firstLine="6510"/>
        <w:spacing w:line="85" w:lineRule="atLeast"/>
        <w:pBdr>
          <w:top w:val="none" w:color="000000" w:sz="4" w:space="0"/>
          <w:left w:val="none" w:color="000000" w:sz="4" w:space="0"/>
          <w:bottom w:val="none" w:color="000000" w:sz="4" w:space="0"/>
          <w:right w:val="none" w:color="000000" w:sz="4" w:space="0"/>
        </w:pBdr>
      </w:pPr>
      <w:r/>
      <w:r/>
    </w:p>
    <w:p>
      <w:pPr>
        <w:pStyle w:val="1011"/>
        <w:ind w:right="945" w:firstLine="6510"/>
        <w:jc w:val="right"/>
        <w:spacing w:line="85" w:lineRule="atLeast"/>
        <w:rPr>
          <w:rFonts w:ascii="SimSun" w:hAnsi="SimSun" w:eastAsia="SimSun" w:cs="SimSun"/>
        </w:rPr>
        <w:pBdr>
          <w:top w:val="none" w:color="000000" w:sz="4" w:space="0"/>
          <w:left w:val="none" w:color="000000" w:sz="4" w:space="0"/>
          <w:bottom w:val="none" w:color="000000" w:sz="4" w:space="0"/>
          <w:right w:val="none" w:color="000000" w:sz="4" w:space="0"/>
        </w:pBdr>
      </w:pPr>
      <w:r>
        <w:rPr>
          <w:rFonts w:ascii="SimSun" w:hAnsi="SimSun" w:eastAsia="SimSun" w:cs="SimSun"/>
        </w:rPr>
        <w:t xml:space="preserve">苏州常发工程咨询有限公司2025年</w:t>
      </w:r>
      <w:r>
        <w:rPr>
          <w:rFonts w:ascii="SimSun" w:hAnsi="SimSun" w:eastAsia="SimSun" w:cs="SimSun"/>
        </w:rPr>
        <w:t xml:space="preserve">1</w:t>
      </w:r>
      <w:r>
        <w:rPr>
          <w:rFonts w:hint="eastAsia" w:ascii="SimSun" w:hAnsi="SimSun" w:cs="SimSun"/>
        </w:rPr>
        <w:t xml:space="preserve">2</w:t>
      </w:r>
      <w:r>
        <w:rPr>
          <w:rFonts w:ascii="SimSun" w:hAnsi="SimSun" w:eastAsia="SimSun" w:cs="SimSun"/>
        </w:rPr>
        <w:t xml:space="preserve">月</w:t>
      </w:r>
      <w:r>
        <w:rPr>
          <w:rFonts w:hint="eastAsia" w:ascii="SimSun" w:hAnsi="SimSun" w:cs="SimSun"/>
        </w:rPr>
        <w:t xml:space="preserve">1</w:t>
      </w:r>
      <w:r>
        <w:rPr>
          <w:rFonts w:ascii="SimSun" w:hAnsi="SimSun" w:eastAsia="SimSun" w:cs="SimSun"/>
        </w:rPr>
        <w:t xml:space="preserve">日</w:t>
      </w:r>
      <w:r/>
    </w:p>
    <w:p>
      <w:pPr>
        <w:pStyle w:val="1011"/>
        <w:pBdr>
          <w:top w:val="none" w:color="000000" w:sz="4" w:space="0"/>
          <w:left w:val="none" w:color="000000" w:sz="4" w:space="0"/>
          <w:bottom w:val="none" w:color="000000" w:sz="4" w:space="0"/>
          <w:right w:val="none" w:color="000000" w:sz="4" w:space="0"/>
        </w:pBdr>
      </w:pPr>
      <w:r>
        <w:br w:type="page" w:clear="all"/>
      </w:r>
      <w:r/>
    </w:p>
    <w:p>
      <w:pPr>
        <w:pStyle w:val="1011"/>
        <w:ind w:left="3341"/>
        <w:spacing w:before="136" w:line="225" w:lineRule="auto"/>
        <w:rPr>
          <w:rFonts w:ascii="宋体" w:hAnsi="宋体" w:cs="宋体"/>
          <w:sz w:val="31"/>
          <w:szCs w:val="31"/>
        </w:rPr>
        <w:outlineLvl w:val="0"/>
      </w:pPr>
      <w:r/>
      <w:bookmarkEnd w:id="28"/>
      <w:r/>
      <w:bookmarkStart w:id="29" w:name="_Toc212041561"/>
      <w:r>
        <w:rPr>
          <w:rFonts w:ascii="宋体" w:hAnsi="宋体" w:cs="宋体"/>
          <w:b/>
          <w:bCs/>
          <w:spacing w:val="6"/>
          <w:sz w:val="31"/>
          <w:szCs w:val="31"/>
        </w:rPr>
        <w:t xml:space="preserve">第二章投标人须知</w:t>
      </w:r>
      <w:bookmarkEnd w:id="29"/>
      <w:r>
        <w:rPr>
          <w:rFonts w:ascii="宋体" w:hAnsi="宋体" w:cs="宋体"/>
          <w:sz w:val="31"/>
          <w:szCs w:val="31"/>
        </w:rPr>
      </w:r>
      <w:r/>
    </w:p>
    <w:p>
      <w:pPr>
        <w:pStyle w:val="1011"/>
        <w:ind w:left="462"/>
        <w:spacing w:before="125" w:line="221" w:lineRule="auto"/>
        <w:rPr>
          <w:rFonts w:ascii="宋体" w:hAnsi="宋体" w:cs="宋体"/>
        </w:rPr>
      </w:pPr>
      <w:r>
        <w:rPr>
          <w:rFonts w:ascii="宋体" w:hAnsi="宋体" w:cs="宋体"/>
          <w:b/>
          <w:bCs/>
          <w:spacing w:val="-5"/>
        </w:rPr>
        <w:t xml:space="preserve">一、说明和释义</w:t>
      </w:r>
      <w:r>
        <w:rPr>
          <w:rFonts w:ascii="宋体" w:hAnsi="宋体" w:cs="宋体"/>
        </w:rPr>
      </w:r>
      <w:r/>
    </w:p>
    <w:p>
      <w:pPr>
        <w:pStyle w:val="1011"/>
        <w:ind w:left="475"/>
        <w:spacing w:before="156" w:line="221" w:lineRule="auto"/>
        <w:rPr>
          <w:rFonts w:ascii="宋体" w:hAnsi="宋体" w:cs="宋体"/>
        </w:rPr>
      </w:pPr>
      <w:r>
        <w:rPr>
          <w:rFonts w:ascii="宋体" w:hAnsi="宋体" w:cs="宋体"/>
          <w:b/>
          <w:bCs/>
          <w:spacing w:val="-8"/>
        </w:rPr>
        <w:t xml:space="preserve">1.说明</w:t>
      </w:r>
      <w:r>
        <w:rPr>
          <w:rFonts w:ascii="宋体" w:hAnsi="宋体" w:cs="宋体"/>
        </w:rPr>
      </w:r>
      <w:r/>
    </w:p>
    <w:p>
      <w:pPr>
        <w:pStyle w:val="1011"/>
        <w:ind w:left="472"/>
        <w:spacing w:before="155" w:line="221" w:lineRule="auto"/>
        <w:rPr>
          <w:rFonts w:ascii="宋体" w:hAnsi="宋体" w:cs="宋体"/>
        </w:rPr>
      </w:pPr>
      <w:r>
        <w:rPr>
          <w:rFonts w:ascii="宋体" w:hAnsi="宋体" w:cs="宋体"/>
          <w:spacing w:val="-1"/>
        </w:rPr>
        <w:t xml:space="preserve">1.1本招标文件仅适用于苏州常发工程咨询有限公司</w:t>
      </w:r>
      <w:r>
        <w:rPr>
          <w:rFonts w:ascii="宋体" w:hAnsi="宋体" w:cs="宋体"/>
          <w:spacing w:val="-2"/>
        </w:rPr>
        <w:t xml:space="preserve">组织的招标活动。</w:t>
      </w:r>
      <w:r>
        <w:rPr>
          <w:rFonts w:ascii="宋体" w:hAnsi="宋体" w:cs="宋体"/>
        </w:rPr>
      </w:r>
      <w:r/>
    </w:p>
    <w:p>
      <w:pPr>
        <w:pStyle w:val="1011"/>
        <w:ind w:left="472"/>
        <w:spacing w:before="159" w:line="221" w:lineRule="auto"/>
        <w:rPr>
          <w:rFonts w:ascii="宋体" w:hAnsi="宋体" w:cs="宋体"/>
        </w:rPr>
      </w:pPr>
      <w:r>
        <w:rPr>
          <w:rFonts w:ascii="宋体" w:hAnsi="宋体" w:cs="宋体"/>
          <w:spacing w:val="-1"/>
        </w:rPr>
        <w:t xml:space="preserve">1.2本次招标活动及因本次招标产生的合同受中国法律制约和保护。</w:t>
      </w:r>
      <w:r>
        <w:rPr>
          <w:rFonts w:ascii="宋体" w:hAnsi="宋体" w:cs="宋体"/>
        </w:rPr>
      </w:r>
      <w:r/>
    </w:p>
    <w:p>
      <w:pPr>
        <w:pStyle w:val="1011"/>
        <w:ind w:left="472"/>
        <w:spacing w:before="156" w:line="221" w:lineRule="auto"/>
        <w:rPr>
          <w:rFonts w:ascii="宋体" w:hAnsi="宋体" w:cs="宋体"/>
        </w:rPr>
      </w:pPr>
      <w:r>
        <w:rPr>
          <w:rFonts w:ascii="宋体" w:hAnsi="宋体" w:cs="宋体"/>
          <w:spacing w:val="-1"/>
        </w:rPr>
        <w:t xml:space="preserve">1.3本招标文件的解释权属于苏州常发工程咨询有限公司</w:t>
      </w:r>
      <w:r>
        <w:rPr>
          <w:rFonts w:ascii="宋体" w:hAnsi="宋体" w:cs="宋体"/>
          <w:spacing w:val="-2"/>
        </w:rPr>
        <w:t xml:space="preserve">。</w:t>
      </w:r>
      <w:r>
        <w:rPr>
          <w:rFonts w:ascii="宋体" w:hAnsi="宋体" w:cs="宋体"/>
        </w:rPr>
      </w:r>
      <w:r/>
    </w:p>
    <w:p>
      <w:pPr>
        <w:pStyle w:val="1011"/>
        <w:ind w:left="461"/>
        <w:spacing w:before="158" w:line="221" w:lineRule="auto"/>
        <w:rPr>
          <w:rFonts w:ascii="宋体" w:hAnsi="宋体" w:cs="宋体"/>
        </w:rPr>
      </w:pPr>
      <w:r>
        <w:rPr>
          <w:rFonts w:ascii="宋体" w:hAnsi="宋体" w:cs="宋体"/>
          <w:b/>
          <w:bCs/>
          <w:spacing w:val="-4"/>
        </w:rPr>
        <w:t xml:space="preserve">2.词语释义</w:t>
      </w:r>
      <w:r>
        <w:rPr>
          <w:rFonts w:ascii="宋体" w:hAnsi="宋体" w:cs="宋体"/>
        </w:rPr>
      </w:r>
      <w:r/>
    </w:p>
    <w:p>
      <w:pPr>
        <w:pStyle w:val="1011"/>
        <w:ind w:left="459"/>
        <w:spacing w:before="156" w:line="221" w:lineRule="auto"/>
        <w:rPr>
          <w:rFonts w:ascii="宋体" w:hAnsi="宋体" w:cs="宋体"/>
        </w:rPr>
      </w:pPr>
      <w:r>
        <w:rPr>
          <w:rFonts w:ascii="宋体" w:hAnsi="宋体" w:cs="宋体"/>
          <w:spacing w:val="-1"/>
        </w:rPr>
        <w:t xml:space="preserve">2.1 采购人：指依法进行政府采购的国家机关、事业单位、团体组织。</w:t>
      </w:r>
      <w:r>
        <w:rPr>
          <w:rFonts w:ascii="宋体" w:hAnsi="宋体" w:cs="宋体"/>
        </w:rPr>
      </w:r>
      <w:r/>
    </w:p>
    <w:p>
      <w:pPr>
        <w:pStyle w:val="1011"/>
        <w:ind w:left="56" w:right="52" w:firstLine="402"/>
        <w:spacing w:before="156" w:line="291" w:lineRule="auto"/>
        <w:rPr>
          <w:rFonts w:ascii="宋体" w:hAnsi="宋体" w:cs="宋体"/>
        </w:rPr>
      </w:pPr>
      <w:r>
        <w:rPr>
          <w:rFonts w:ascii="宋体" w:hAnsi="宋体" w:cs="宋体"/>
        </w:rPr>
        <w:t xml:space="preserve">2.2采购代理机构：指依法接受采购人委托，从事货物、工程和服务等</w:t>
      </w:r>
      <w:r>
        <w:rPr>
          <w:rFonts w:ascii="宋体" w:hAnsi="宋体" w:cs="宋体"/>
          <w:spacing w:val="-1"/>
        </w:rPr>
        <w:t xml:space="preserve">政府采购招标代理业务的社会中介机构。本项目采购代理机构是苏州常发工程咨询有限公司。</w:t>
      </w:r>
      <w:r>
        <w:rPr>
          <w:rFonts w:ascii="宋体" w:hAnsi="宋体" w:cs="宋体"/>
        </w:rPr>
      </w:r>
      <w:r/>
    </w:p>
    <w:p>
      <w:pPr>
        <w:pStyle w:val="1011"/>
        <w:ind w:left="459"/>
        <w:spacing w:before="157" w:line="221" w:lineRule="auto"/>
        <w:rPr>
          <w:rFonts w:ascii="宋体" w:hAnsi="宋体" w:cs="宋体"/>
        </w:rPr>
      </w:pPr>
      <w:r>
        <w:rPr>
          <w:rFonts w:ascii="宋体" w:hAnsi="宋体" w:cs="宋体"/>
          <w:spacing w:val="-2"/>
        </w:rPr>
        <w:t xml:space="preserve">2.3招标采购单位：采购人及采购代理机构的统称。</w:t>
      </w:r>
      <w:r>
        <w:rPr>
          <w:rFonts w:ascii="宋体" w:hAnsi="宋体" w:cs="宋体"/>
        </w:rPr>
      </w:r>
      <w:r/>
    </w:p>
    <w:p>
      <w:pPr>
        <w:pStyle w:val="1011"/>
        <w:ind w:left="37" w:right="25" w:firstLine="421"/>
        <w:spacing w:before="156" w:line="290" w:lineRule="auto"/>
        <w:rPr>
          <w:rFonts w:ascii="宋体" w:hAnsi="宋体" w:cs="宋体"/>
        </w:rPr>
      </w:pPr>
      <w:r>
        <w:rPr>
          <w:rFonts w:ascii="宋体" w:hAnsi="宋体" w:cs="宋体"/>
          <w:spacing w:val="-2"/>
        </w:rPr>
        <w:t xml:space="preserve">2.4评标委员会： 是指在招标投标和政府采购活动中，依法由采购人代表和有关技术、经济等方面的</w:t>
      </w:r>
      <w:r>
        <w:rPr>
          <w:rFonts w:ascii="宋体" w:hAnsi="宋体" w:cs="宋体"/>
        </w:rPr>
        <w:t xml:space="preserve">专家组建，负责对投标文件进行评审并提出评审意见的临时性</w:t>
      </w:r>
      <w:r>
        <w:rPr>
          <w:rFonts w:ascii="宋体" w:hAnsi="宋体" w:cs="宋体"/>
          <w:spacing w:val="-1"/>
        </w:rPr>
        <w:t xml:space="preserve">权威机构。</w:t>
      </w:r>
      <w:r>
        <w:rPr>
          <w:rFonts w:ascii="宋体" w:hAnsi="宋体" w:cs="宋体"/>
        </w:rPr>
      </w:r>
      <w:r/>
    </w:p>
    <w:p>
      <w:pPr>
        <w:pStyle w:val="1011"/>
        <w:ind w:left="459"/>
        <w:spacing w:before="157" w:line="221" w:lineRule="auto"/>
        <w:rPr>
          <w:rFonts w:ascii="宋体" w:hAnsi="宋体" w:cs="宋体"/>
        </w:rPr>
      </w:pPr>
      <w:r>
        <w:rPr>
          <w:rFonts w:ascii="宋体" w:hAnsi="宋体" w:cs="宋体"/>
          <w:spacing w:val="-1"/>
        </w:rPr>
        <w:t xml:space="preserve">2.5供应商：指向采购人提供货物、工程或服务的法人、其他组织或者自然人。</w:t>
      </w:r>
      <w:r>
        <w:rPr>
          <w:rFonts w:ascii="宋体" w:hAnsi="宋体" w:cs="宋体"/>
        </w:rPr>
      </w:r>
      <w:r/>
    </w:p>
    <w:p>
      <w:pPr>
        <w:pStyle w:val="1011"/>
        <w:ind w:left="459"/>
        <w:spacing w:before="159" w:line="221" w:lineRule="auto"/>
        <w:rPr>
          <w:rFonts w:ascii="宋体" w:hAnsi="宋体" w:cs="宋体"/>
        </w:rPr>
      </w:pPr>
      <w:r>
        <w:rPr>
          <w:rFonts w:ascii="宋体" w:hAnsi="宋体" w:cs="宋体"/>
          <w:spacing w:val="-1"/>
        </w:rPr>
        <w:t xml:space="preserve">2.6 投标人：指投标报名、参加投标竞争的法人、其他组织或自然人。</w:t>
      </w:r>
      <w:r>
        <w:rPr>
          <w:rFonts w:ascii="宋体" w:hAnsi="宋体" w:cs="宋体"/>
        </w:rPr>
      </w:r>
      <w:r/>
    </w:p>
    <w:p>
      <w:pPr>
        <w:pStyle w:val="1011"/>
        <w:ind w:right="26"/>
        <w:jc w:val="center"/>
        <w:spacing w:before="156" w:line="221" w:lineRule="auto"/>
        <w:rPr>
          <w:rFonts w:ascii="宋体" w:hAnsi="宋体" w:cs="宋体"/>
        </w:rPr>
      </w:pPr>
      <w:r>
        <w:rPr>
          <w:rFonts w:ascii="宋体" w:hAnsi="宋体" w:cs="宋体"/>
          <w:spacing w:val="-1"/>
        </w:rPr>
        <w:t xml:space="preserve">    2.7 投标：投标人根据采购人或采购代理机构发布的招标文件，编制投标文件并按规定投标的行为。</w:t>
      </w:r>
      <w:r>
        <w:rPr>
          <w:rFonts w:ascii="宋体" w:hAnsi="宋体" w:cs="宋体"/>
        </w:rPr>
      </w:r>
      <w:r/>
    </w:p>
    <w:p>
      <w:pPr>
        <w:pStyle w:val="1011"/>
        <w:ind w:left="38" w:right="52" w:firstLine="420"/>
        <w:spacing w:before="157" w:line="290" w:lineRule="auto"/>
        <w:rPr>
          <w:rFonts w:ascii="宋体" w:hAnsi="宋体" w:cs="宋体"/>
        </w:rPr>
      </w:pPr>
      <w:r>
        <w:rPr>
          <w:rFonts w:ascii="宋体" w:hAnsi="宋体" w:cs="宋体"/>
        </w:rPr>
        <w:t xml:space="preserve">2.8合同：采供双方根据招标文件和中标的投标文件及中标通知书</w:t>
      </w:r>
      <w:r>
        <w:rPr>
          <w:rFonts w:ascii="宋体" w:hAnsi="宋体" w:cs="宋体"/>
          <w:spacing w:val="-1"/>
        </w:rPr>
        <w:t xml:space="preserve">规定的内容签署的以书面形式所达</w:t>
      </w:r>
      <w:r>
        <w:rPr>
          <w:rFonts w:ascii="宋体" w:hAnsi="宋体" w:cs="宋体"/>
        </w:rPr>
        <w:t xml:space="preserve">成的协议，包括所有的附件、附录和构成协议的</w:t>
      </w:r>
      <w:r>
        <w:rPr>
          <w:rFonts w:ascii="宋体" w:hAnsi="宋体" w:cs="宋体"/>
          <w:spacing w:val="-1"/>
        </w:rPr>
        <w:t xml:space="preserve">所有文件。</w:t>
      </w:r>
      <w:r>
        <w:rPr>
          <w:rFonts w:ascii="宋体" w:hAnsi="宋体" w:cs="宋体"/>
        </w:rPr>
      </w:r>
      <w:r/>
    </w:p>
    <w:p>
      <w:pPr>
        <w:pStyle w:val="1011"/>
        <w:ind w:left="459"/>
        <w:spacing w:before="159" w:line="222" w:lineRule="auto"/>
        <w:rPr>
          <w:rFonts w:ascii="宋体" w:hAnsi="宋体" w:cs="宋体"/>
        </w:rPr>
      </w:pPr>
      <w:r>
        <w:rPr>
          <w:rFonts w:ascii="宋体" w:hAnsi="宋体" w:cs="宋体"/>
          <w:spacing w:val="-10"/>
        </w:rPr>
        <w:t xml:space="preserve">2.9天：日历日。</w:t>
      </w:r>
      <w:r>
        <w:rPr>
          <w:rFonts w:ascii="宋体" w:hAnsi="宋体" w:cs="宋体"/>
        </w:rPr>
      </w:r>
      <w:r/>
    </w:p>
    <w:p>
      <w:pPr>
        <w:pStyle w:val="1011"/>
        <w:ind w:left="459"/>
        <w:spacing w:before="156" w:line="221" w:lineRule="auto"/>
        <w:rPr>
          <w:rFonts w:ascii="宋体" w:hAnsi="宋体" w:cs="宋体"/>
        </w:rPr>
      </w:pPr>
      <w:r>
        <w:rPr>
          <w:rFonts w:ascii="宋体" w:hAnsi="宋体" w:cs="宋体"/>
          <w:spacing w:val="-2"/>
        </w:rPr>
        <w:t xml:space="preserve">2.10时间：除特别说明，均指北京时间。</w:t>
      </w:r>
      <w:r>
        <w:rPr>
          <w:rFonts w:ascii="宋体" w:hAnsi="宋体" w:cs="宋体"/>
        </w:rPr>
      </w:r>
      <w:r/>
    </w:p>
    <w:p>
      <w:pPr>
        <w:pStyle w:val="1011"/>
        <w:ind w:left="459"/>
        <w:spacing w:before="156" w:line="221" w:lineRule="auto"/>
        <w:rPr>
          <w:rFonts w:ascii="宋体" w:hAnsi="宋体" w:cs="宋体"/>
        </w:rPr>
      </w:pPr>
      <w:r>
        <w:rPr>
          <w:rFonts w:ascii="宋体" w:hAnsi="宋体" w:cs="宋体"/>
          <w:spacing w:val="-1"/>
        </w:rPr>
        <w:t xml:space="preserve">2.11知识产权:指专利权、商标权、著作权等无形财产专有权的统称。</w:t>
      </w:r>
      <w:r>
        <w:rPr>
          <w:rFonts w:ascii="宋体" w:hAnsi="宋体" w:cs="宋体"/>
        </w:rPr>
      </w:r>
      <w:r/>
    </w:p>
    <w:p>
      <w:pPr>
        <w:pStyle w:val="1011"/>
        <w:ind w:left="459"/>
        <w:spacing w:before="156" w:line="221" w:lineRule="auto"/>
        <w:rPr>
          <w:rFonts w:ascii="宋体" w:hAnsi="宋体" w:cs="宋体"/>
        </w:rPr>
      </w:pPr>
      <w:r>
        <w:rPr>
          <w:rFonts w:ascii="宋体" w:hAnsi="宋体" w:cs="宋体"/>
          <w:spacing w:val="-1"/>
        </w:rPr>
        <w:t xml:space="preserve">2.12交货地点:合同中明确约定的乙方提交的货物、服务最终到达地点。</w:t>
      </w:r>
      <w:r>
        <w:rPr>
          <w:rFonts w:ascii="宋体" w:hAnsi="宋体" w:cs="宋体"/>
        </w:rPr>
      </w:r>
      <w:r/>
    </w:p>
    <w:p>
      <w:pPr>
        <w:pStyle w:val="1011"/>
        <w:ind w:left="459"/>
        <w:spacing w:before="158" w:line="221" w:lineRule="auto"/>
        <w:rPr>
          <w:rFonts w:ascii="宋体" w:hAnsi="宋体" w:cs="宋体"/>
        </w:rPr>
      </w:pPr>
      <w:r>
        <w:rPr>
          <w:rFonts w:ascii="宋体" w:hAnsi="宋体" w:cs="宋体"/>
          <w:spacing w:val="-1"/>
        </w:rPr>
        <w:t xml:space="preserve">2.13不可抗力：不能预见、不能避免并且不能克服的客观情况。</w:t>
      </w:r>
      <w:r>
        <w:rPr>
          <w:rFonts w:ascii="宋体" w:hAnsi="宋体" w:cs="宋体"/>
        </w:rPr>
      </w:r>
      <w:r/>
    </w:p>
    <w:p>
      <w:pPr>
        <w:pStyle w:val="1011"/>
        <w:ind w:left="37" w:right="53" w:firstLine="422"/>
        <w:spacing w:before="158" w:line="290" w:lineRule="auto"/>
        <w:rPr>
          <w:rFonts w:ascii="宋体" w:hAnsi="宋体" w:cs="宋体"/>
        </w:rPr>
      </w:pPr>
      <w:r>
        <w:rPr>
          <w:rFonts w:ascii="宋体" w:hAnsi="宋体" w:cs="宋体"/>
          <w:spacing w:val="-7"/>
        </w:rPr>
        <w:t xml:space="preserve">2.14实质性投标：满足有关本次采购标的、数量、质量、价款或者报酬、履行期限、履行地点</w:t>
      </w:r>
      <w:r>
        <w:rPr>
          <w:rFonts w:ascii="宋体" w:hAnsi="宋体" w:cs="宋体"/>
          <w:spacing w:val="-8"/>
        </w:rPr>
        <w:t xml:space="preserve">和方式、</w:t>
      </w:r>
      <w:r>
        <w:rPr>
          <w:rFonts w:ascii="宋体" w:hAnsi="宋体" w:cs="宋体"/>
          <w:spacing w:val="-1"/>
        </w:rPr>
        <w:t xml:space="preserve">违约责任和解决争议方法等要求。</w:t>
      </w:r>
      <w:r>
        <w:rPr>
          <w:rFonts w:ascii="宋体" w:hAnsi="宋体" w:cs="宋体"/>
        </w:rPr>
      </w:r>
      <w:r/>
    </w:p>
    <w:p>
      <w:pPr>
        <w:pStyle w:val="1011"/>
        <w:ind w:firstLine="422"/>
        <w:spacing w:line="360" w:lineRule="auto"/>
        <w:rPr>
          <w:rFonts w:ascii="宋体" w:hAnsi="宋体" w:cs="宋体"/>
          <w:spacing w:val="-1"/>
        </w:rPr>
      </w:pPr>
      <w:r>
        <w:rPr>
          <w:rFonts w:ascii="宋体" w:hAnsi="宋体" w:cs="宋体"/>
          <w:spacing w:val="-1"/>
        </w:rPr>
        <w:t xml:space="preserve">2.15书面形式：指书面文字、合同书、信件和传真等可以有形地表现所载内容的形式。</w:t>
      </w:r>
      <w:r/>
    </w:p>
    <w:p>
      <w:pPr>
        <w:pStyle w:val="1011"/>
        <w:ind w:firstLine="422"/>
        <w:spacing w:line="360" w:lineRule="auto"/>
        <w:rPr>
          <w:rFonts w:ascii="宋体" w:hAnsi="宋体" w:cs="宋体"/>
          <w:lang w:val="zh-CN"/>
        </w:rPr>
      </w:pPr>
      <w:r>
        <w:rPr>
          <w:rFonts w:hint="eastAsia" w:ascii="宋体" w:hAnsi="宋体" w:cs="宋体"/>
          <w:lang w:val="zh-CN"/>
        </w:rPr>
        <w:t xml:space="preserve">2.16中小企业：是指在中华人民共和国境内依法设立，依据国务院批准的中小企业划分标准确定的中型企业、小型企业和微型企业，但与大企业的负责人为同一人，或者与大企业存在直接控股、管理关系的除外。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cs="宋体"/>
          <w:lang w:val="zh-CN"/>
        </w:rPr>
      </w:r>
      <w:r/>
    </w:p>
    <w:p>
      <w:pPr>
        <w:pStyle w:val="1011"/>
        <w:ind w:firstLine="422"/>
        <w:spacing w:line="360" w:lineRule="auto"/>
        <w:rPr>
          <w:rFonts w:ascii="宋体" w:hAnsi="宋体" w:cs="宋体"/>
        </w:rPr>
      </w:pPr>
      <w:r>
        <w:rPr>
          <w:rFonts w:ascii="宋体" w:hAnsi="宋体" w:cs="宋体"/>
          <w:b/>
          <w:bCs/>
          <w:spacing w:val="-4"/>
        </w:rPr>
        <w:t xml:space="preserve">二、投标人</w:t>
      </w:r>
      <w:r>
        <w:rPr>
          <w:rFonts w:ascii="宋体" w:hAnsi="宋体" w:cs="宋体"/>
        </w:rPr>
      </w:r>
      <w:r/>
    </w:p>
    <w:p>
      <w:pPr>
        <w:pStyle w:val="1011"/>
        <w:ind w:firstLine="422"/>
        <w:spacing w:line="360" w:lineRule="auto"/>
        <w:rPr>
          <w:b/>
        </w:rPr>
      </w:pPr>
      <w:r>
        <w:rPr>
          <w:b/>
        </w:rPr>
        <w:t xml:space="preserve">3.</w:t>
      </w:r>
      <w:r>
        <w:rPr>
          <w:rFonts w:hint="eastAsia"/>
          <w:b/>
        </w:rPr>
        <w:t xml:space="preserve">合格投标人的资格条件：</w:t>
      </w:r>
      <w:r>
        <w:rPr>
          <w:b/>
        </w:rPr>
      </w:r>
      <w:r/>
    </w:p>
    <w:p>
      <w:pPr>
        <w:pStyle w:val="1011"/>
        <w:ind w:right="15" w:firstLine="420"/>
        <w:spacing w:line="360" w:lineRule="auto"/>
      </w:pPr>
      <w:r>
        <w:t xml:space="preserve">3.1</w:t>
      </w:r>
      <w:r>
        <w:rPr>
          <w:rFonts w:hint="eastAsia"/>
        </w:rPr>
        <w:t xml:space="preserve">满足《中华人民共和国政府采购法》第二十二条规定，投标人应当具备下列条件：</w:t>
      </w:r>
      <w:r/>
    </w:p>
    <w:p>
      <w:pPr>
        <w:pStyle w:val="1011"/>
        <w:ind w:right="15" w:firstLine="420"/>
        <w:spacing w:line="360" w:lineRule="auto"/>
      </w:pPr>
      <w:r>
        <w:rPr>
          <w:rFonts w:hint="eastAsia"/>
        </w:rPr>
        <w:t xml:space="preserve">（</w:t>
      </w:r>
      <w:r>
        <w:t xml:space="preserve">1</w:t>
      </w:r>
      <w:r>
        <w:rPr>
          <w:rFonts w:hint="eastAsia"/>
        </w:rPr>
        <w:t xml:space="preserve">）具有独立承担民事责任的能力；</w:t>
      </w:r>
      <w:r/>
    </w:p>
    <w:p>
      <w:pPr>
        <w:pStyle w:val="1011"/>
        <w:ind w:right="15" w:firstLine="420"/>
        <w:spacing w:line="360" w:lineRule="auto"/>
      </w:pPr>
      <w:r>
        <w:rPr>
          <w:rFonts w:hint="eastAsia"/>
        </w:rPr>
        <w:t xml:space="preserve">（</w:t>
      </w:r>
      <w:r>
        <w:t xml:space="preserve">2</w:t>
      </w:r>
      <w:r>
        <w:rPr>
          <w:rFonts w:hint="eastAsia"/>
        </w:rPr>
        <w:t xml:space="preserve">）具有良好的商业信誉和健全的财务会计制度；</w:t>
      </w:r>
      <w:r/>
    </w:p>
    <w:p>
      <w:pPr>
        <w:pStyle w:val="1011"/>
        <w:ind w:right="15" w:firstLine="420"/>
        <w:spacing w:line="360" w:lineRule="auto"/>
      </w:pPr>
      <w:r>
        <w:rPr>
          <w:rFonts w:hint="eastAsia"/>
        </w:rPr>
        <w:t xml:space="preserve">（</w:t>
      </w:r>
      <w:r>
        <w:t xml:space="preserve">3</w:t>
      </w:r>
      <w:r>
        <w:rPr>
          <w:rFonts w:hint="eastAsia"/>
        </w:rPr>
        <w:t xml:space="preserve">）具有履行合同所必需的设备和专业技术能力；</w:t>
      </w:r>
      <w:r/>
    </w:p>
    <w:p>
      <w:pPr>
        <w:pStyle w:val="1011"/>
        <w:ind w:right="15" w:firstLine="420"/>
        <w:spacing w:line="360" w:lineRule="auto"/>
      </w:pPr>
      <w:r>
        <w:rPr>
          <w:rFonts w:hint="eastAsia"/>
        </w:rPr>
        <w:t xml:space="preserve">（</w:t>
      </w:r>
      <w:r>
        <w:t xml:space="preserve">4</w:t>
      </w:r>
      <w:r>
        <w:rPr>
          <w:rFonts w:hint="eastAsia"/>
        </w:rPr>
        <w:t xml:space="preserve">）有依法缴纳税收和社会保障资金的良好记录；</w:t>
      </w:r>
      <w:r/>
    </w:p>
    <w:p>
      <w:pPr>
        <w:pStyle w:val="1011"/>
        <w:ind w:right="15" w:firstLine="420"/>
        <w:spacing w:line="360" w:lineRule="auto"/>
      </w:pPr>
      <w:r>
        <w:rPr>
          <w:rFonts w:hint="eastAsia"/>
        </w:rPr>
        <w:t xml:space="preserve">（</w:t>
      </w:r>
      <w:r>
        <w:t xml:space="preserve">5</w:t>
      </w:r>
      <w:r>
        <w:rPr>
          <w:rFonts w:hint="eastAsia"/>
        </w:rPr>
        <w:t xml:space="preserve">）参加政府采购活动前三年内，在经营活动中没有重大违法记录；</w:t>
      </w:r>
      <w:r/>
    </w:p>
    <w:p>
      <w:pPr>
        <w:pStyle w:val="1011"/>
        <w:ind w:right="15" w:firstLine="420"/>
        <w:spacing w:line="360" w:lineRule="auto"/>
      </w:pPr>
      <w:r>
        <w:rPr>
          <w:rFonts w:hint="eastAsia"/>
        </w:rPr>
        <w:t xml:space="preserve">（</w:t>
      </w:r>
      <w:r>
        <w:t xml:space="preserve">6</w:t>
      </w:r>
      <w:r>
        <w:rPr>
          <w:rFonts w:hint="eastAsia"/>
        </w:rPr>
        <w:t xml:space="preserve">）法律、行政法规规定的其他条件。</w:t>
      </w:r>
      <w:r/>
    </w:p>
    <w:p>
      <w:pPr>
        <w:pStyle w:val="1011"/>
        <w:ind w:firstLine="420"/>
        <w:spacing w:line="360" w:lineRule="auto"/>
        <w:rPr>
          <w:rFonts w:ascii="宋体" w:hAnsi="宋体" w:cs="宋体"/>
          <w:b/>
        </w:rPr>
      </w:pPr>
      <w:r>
        <w:t xml:space="preserve">3.2</w:t>
      </w:r>
      <w:r>
        <w:rPr>
          <w:rFonts w:hint="eastAsia" w:ascii="宋体" w:hAnsi="宋体" w:cs="宋体"/>
          <w:bCs/>
          <w:lang w:val="zh-CN"/>
        </w:rPr>
        <w:t xml:space="preserve"> </w:t>
      </w:r>
      <w:r>
        <w:rPr>
          <w:rFonts w:hint="eastAsia" w:ascii="宋体" w:hAnsi="宋体" w:cs="宋体"/>
          <w:spacing w:val="-1"/>
        </w:rPr>
        <w:t xml:space="preserve">落实政府采购政策需满足的资格要求</w:t>
      </w:r>
      <w:r>
        <w:rPr>
          <w:rFonts w:hint="eastAsia" w:ascii="宋体" w:hAnsi="宋体" w:cs="宋体"/>
          <w:bCs/>
          <w:lang w:val="zh-CN"/>
        </w:rPr>
        <w:t xml:space="preserve">：</w:t>
      </w:r>
      <w:bookmarkStart w:id="30" w:name="OLE_LINK56"/>
      <w:r>
        <w:rPr>
          <w:rFonts w:hint="eastAsia" w:ascii="宋体" w:hAnsi="宋体" w:cs="宋体"/>
          <w:b/>
          <w:bCs/>
        </w:rPr>
        <w:t xml:space="preserve">本项目非专门面向中小企业</w:t>
      </w:r>
      <w:bookmarkEnd w:id="30"/>
      <w:r>
        <w:rPr>
          <w:rFonts w:hint="eastAsia" w:ascii="宋体" w:hAnsi="宋体" w:cs="宋体"/>
          <w:b/>
          <w:bCs/>
        </w:rPr>
        <w:t xml:space="preserve">。</w:t>
      </w:r>
      <w:r>
        <w:rPr>
          <w:rFonts w:ascii="宋体" w:hAnsi="宋体" w:cs="宋体"/>
          <w:b/>
        </w:rPr>
      </w:r>
      <w:r/>
    </w:p>
    <w:p>
      <w:pPr>
        <w:pStyle w:val="1011"/>
        <w:ind w:right="15" w:firstLine="420"/>
        <w:spacing w:line="360" w:lineRule="auto"/>
        <w:rPr>
          <w:rFonts w:ascii="宋体" w:hAnsi="宋体" w:cs="宋体"/>
        </w:rPr>
      </w:pPr>
      <w:r>
        <w:rPr>
          <w:rFonts w:ascii="宋体" w:hAnsi="宋体" w:cs="宋体"/>
          <w:spacing w:val="-2"/>
        </w:rPr>
        <w:t xml:space="preserve">3.</w:t>
      </w:r>
      <w:r>
        <w:rPr>
          <w:rFonts w:hint="eastAsia" w:ascii="宋体" w:hAnsi="宋体" w:cs="宋体"/>
          <w:spacing w:val="-2"/>
        </w:rPr>
        <w:t xml:space="preserve">3</w:t>
      </w:r>
      <w:r>
        <w:rPr>
          <w:rFonts w:ascii="宋体" w:hAnsi="宋体" w:cs="宋体"/>
          <w:spacing w:val="-2"/>
        </w:rPr>
      </w:r>
      <w:r>
        <w:rPr>
          <w:rFonts w:ascii="宋体" w:hAnsi="宋体" w:cs="宋体"/>
        </w:rPr>
        <w:t xml:space="preserve">本项目的特定资格要求：</w:t>
      </w:r>
      <w:r/>
      <w:r>
        <w:rPr>
          <w:rFonts w:ascii="宋体" w:hAnsi="宋体" w:cs="宋体"/>
          <w:spacing w:val="-2"/>
        </w:rPr>
      </w:r>
      <w:r>
        <w:rPr>
          <w:rFonts w:ascii="宋体" w:hAnsi="宋体" w:cs="宋体"/>
        </w:rPr>
      </w:r>
      <w:r/>
    </w:p>
    <w:p>
      <w:pPr>
        <w:pStyle w:val="1011"/>
        <w:ind w:left="37" w:right="73" w:firstLine="418"/>
        <w:spacing w:before="190" w:line="303" w:lineRule="auto"/>
        <w:rPr>
          <w:rFonts w:ascii="宋体" w:hAnsi="宋体" w:cs="宋体"/>
        </w:rPr>
      </w:pPr>
      <w:r>
        <w:rPr>
          <w:rFonts w:hint="eastAsia" w:ascii="宋体" w:hAnsi="宋体" w:cs="宋体"/>
        </w:rPr>
        <w:t xml:space="preserve">（</w:t>
      </w:r>
      <w:bookmarkStart w:id="31" w:name="OLE_LINK49"/>
      <w:r>
        <w:rPr>
          <w:rFonts w:hint="eastAsia" w:ascii="宋体" w:hAnsi="宋体" w:cs="宋体"/>
        </w:rPr>
        <w:t xml:space="preserve">1）</w:t>
      </w:r>
      <w:r>
        <w:rPr>
          <w:rFonts w:ascii="宋体" w:hAnsi="宋体" w:cs="宋体"/>
        </w:rPr>
        <w:t xml:space="preserve"> 单位负责人为同一人或者存在直接控</w:t>
      </w:r>
      <w:r>
        <w:rPr>
          <w:rFonts w:ascii="宋体" w:hAnsi="宋体" w:cs="宋体"/>
          <w:spacing w:val="-1"/>
        </w:rPr>
        <w:t xml:space="preserve">股、管理关系的不同供应商（包含法定代表人为同一个人的</w:t>
      </w:r>
      <w:r>
        <w:rPr>
          <w:rFonts w:ascii="宋体" w:hAnsi="宋体" w:cs="宋体"/>
        </w:rPr>
        <w:t xml:space="preserve">两个及两个以上法人，母公司、全资子公司及其控股公司</w:t>
      </w:r>
      <w:r>
        <w:rPr>
          <w:rFonts w:ascii="宋体" w:hAnsi="宋体" w:cs="宋体"/>
          <w:spacing w:val="5"/>
        </w:rPr>
        <w:t xml:space="preserve">），</w:t>
      </w:r>
      <w:r>
        <w:rPr>
          <w:rFonts w:ascii="宋体" w:hAnsi="宋体" w:cs="宋体"/>
        </w:rPr>
        <w:t xml:space="preserve">不得参加同</w:t>
      </w:r>
      <w:r>
        <w:rPr>
          <w:rFonts w:ascii="宋体" w:hAnsi="宋体" w:cs="宋体"/>
          <w:spacing w:val="-1"/>
        </w:rPr>
        <w:t xml:space="preserve">一合同项下的政府采购活动。</w:t>
      </w:r>
      <w:r>
        <w:rPr>
          <w:rFonts w:ascii="宋体" w:hAnsi="宋体" w:cs="宋体"/>
        </w:rPr>
      </w:r>
      <w:r/>
    </w:p>
    <w:p>
      <w:pPr>
        <w:pStyle w:val="1011"/>
        <w:ind w:firstLine="420"/>
        <w:spacing w:line="360" w:lineRule="auto"/>
        <w:rPr>
          <w:rFonts w:ascii="宋体" w:hAnsi="宋体" w:cs="宋体"/>
        </w:rPr>
      </w:pPr>
      <w:r>
        <w:rPr>
          <w:rFonts w:hint="eastAsia" w:ascii="宋体" w:hAnsi="宋体" w:cs="宋体"/>
        </w:rPr>
        <w:t xml:space="preserve">（2）未被“信用中国”网站（WWW.creditchina.gov.cn）或“中国政府采购网”网站（www.ccgp.gov.cn）列入失信被执行人、重大税收违法案件当事人名单、政府采购严重失信行为记录名单。</w:t>
      </w:r>
      <w:bookmarkEnd w:id="31"/>
      <w:r>
        <w:rPr>
          <w:rFonts w:ascii="宋体" w:hAnsi="宋体" w:cs="宋体"/>
        </w:rPr>
      </w:r>
      <w:r/>
    </w:p>
    <w:p>
      <w:pPr>
        <w:pStyle w:val="1011"/>
        <w:ind w:firstLine="307"/>
        <w:spacing w:before="157" w:line="221" w:lineRule="auto"/>
        <w:rPr>
          <w:rFonts w:ascii="宋体" w:hAnsi="宋体" w:cs="宋体"/>
        </w:rPr>
      </w:pPr>
      <w:r>
        <w:rPr>
          <w:rFonts w:ascii="宋体" w:hAnsi="宋体" w:cs="宋体"/>
          <w:b/>
          <w:bCs/>
          <w:spacing w:val="-3"/>
        </w:rPr>
        <w:t xml:space="preserve">4.投标人代表</w:t>
      </w:r>
      <w:r>
        <w:rPr>
          <w:rFonts w:ascii="宋体" w:hAnsi="宋体" w:cs="宋体"/>
        </w:rPr>
      </w:r>
      <w:r/>
    </w:p>
    <w:p>
      <w:pPr>
        <w:pStyle w:val="1011"/>
        <w:ind w:left="39" w:right="63" w:firstLine="416"/>
        <w:spacing w:before="156" w:line="360" w:lineRule="auto"/>
        <w:rPr>
          <w:rFonts w:ascii="宋体" w:hAnsi="宋体" w:cs="宋体"/>
        </w:rPr>
      </w:pPr>
      <w:r>
        <w:rPr>
          <w:rFonts w:ascii="宋体" w:hAnsi="宋体" w:cs="宋体"/>
        </w:rPr>
        <w:t xml:space="preserve">4.1指授权全权代表投标人参加投标活动并签</w:t>
      </w:r>
      <w:r>
        <w:rPr>
          <w:rFonts w:ascii="宋体" w:hAnsi="宋体" w:cs="宋体"/>
          <w:spacing w:val="-1"/>
        </w:rPr>
        <w:t xml:space="preserve">署投标文件的人，如果投标人代表不是法定代表人，须</w:t>
      </w:r>
      <w:r>
        <w:rPr>
          <w:rFonts w:ascii="宋体" w:hAnsi="宋体" w:cs="宋体"/>
          <w:spacing w:val="-3"/>
        </w:rPr>
        <w:t xml:space="preserve">持有《法定代表人授权委托书》。</w:t>
      </w:r>
      <w:r>
        <w:rPr>
          <w:rFonts w:ascii="宋体" w:hAnsi="宋体" w:cs="宋体"/>
        </w:rPr>
      </w:r>
      <w:r/>
    </w:p>
    <w:p>
      <w:pPr>
        <w:pStyle w:val="1011"/>
        <w:ind w:right="15" w:firstLine="316"/>
        <w:spacing w:line="360" w:lineRule="auto"/>
        <w:rPr>
          <w:b/>
        </w:rPr>
      </w:pPr>
      <w:r>
        <w:rPr>
          <w:b/>
        </w:rPr>
        <w:t xml:space="preserve">5.投标费用</w:t>
      </w:r>
      <w:r/>
    </w:p>
    <w:p>
      <w:pPr>
        <w:pStyle w:val="1011"/>
        <w:ind w:right="15" w:firstLine="420"/>
        <w:spacing w:line="360" w:lineRule="auto"/>
      </w:pPr>
      <w:r/>
      <w:bookmarkStart w:id="32" w:name="OLE_LINK57"/>
      <w:r>
        <w:t xml:space="preserve">5.1无论投标过程中的做法和结果如何，投标人自行承担所有与参加投标有关的全部费用。</w:t>
      </w:r>
      <w:r/>
    </w:p>
    <w:p>
      <w:pPr>
        <w:pStyle w:val="1011"/>
        <w:ind w:firstLine="420"/>
        <w:spacing w:line="360" w:lineRule="auto"/>
      </w:pPr>
      <w:r>
        <w:t xml:space="preserve">5.2本次招标活动采购人和采购代理机构不收取标书工本费。</w:t>
      </w:r>
      <w:bookmarkEnd w:id="32"/>
      <w:r/>
      <w:r/>
    </w:p>
    <w:p>
      <w:pPr>
        <w:pStyle w:val="1011"/>
        <w:ind w:firstLine="316"/>
        <w:spacing w:line="360" w:lineRule="auto"/>
        <w:rPr>
          <w:b/>
        </w:rPr>
      </w:pPr>
      <w:r/>
      <w:bookmarkStart w:id="33" w:name="OLE_LINK50"/>
      <w:r>
        <w:rPr>
          <w:b/>
        </w:rPr>
        <w:t xml:space="preserve">6.联合投标及转包、分包</w:t>
      </w:r>
      <w:r/>
    </w:p>
    <w:p>
      <w:pPr>
        <w:pStyle w:val="1011"/>
        <w:ind w:firstLine="420"/>
        <w:spacing w:line="360" w:lineRule="auto"/>
      </w:pPr>
      <w:r>
        <w:t xml:space="preserve">6.1本项目不接受联合体投标。</w:t>
      </w:r>
      <w:r/>
    </w:p>
    <w:p>
      <w:pPr>
        <w:pStyle w:val="1011"/>
        <w:ind w:firstLine="420"/>
        <w:spacing w:line="360" w:lineRule="auto"/>
      </w:pPr>
      <w:r>
        <w:t xml:space="preserve">6.2本项目不接受转包、分包。</w:t>
      </w:r>
      <w:r/>
    </w:p>
    <w:p>
      <w:pPr>
        <w:pStyle w:val="1011"/>
        <w:ind w:firstLine="420"/>
        <w:spacing w:line="360" w:lineRule="auto"/>
      </w:pPr>
      <w:r>
        <w:t xml:space="preserve">6.3本项目不接受进口产品。</w:t>
      </w:r>
      <w:bookmarkEnd w:id="33"/>
      <w:r/>
      <w:r/>
    </w:p>
    <w:p>
      <w:pPr>
        <w:pStyle w:val="1011"/>
        <w:ind w:firstLine="205"/>
        <w:spacing w:before="157" w:line="221" w:lineRule="auto"/>
        <w:rPr>
          <w:rFonts w:ascii="宋体" w:hAnsi="宋体" w:cs="宋体"/>
        </w:rPr>
      </w:pPr>
      <w:r>
        <w:rPr>
          <w:rFonts w:ascii="宋体" w:hAnsi="宋体" w:cs="宋体"/>
          <w:b/>
          <w:bCs/>
          <w:spacing w:val="-3"/>
        </w:rPr>
        <w:t xml:space="preserve">三、招标文件说明</w:t>
      </w:r>
      <w:r>
        <w:rPr>
          <w:rFonts w:ascii="宋体" w:hAnsi="宋体" w:cs="宋体"/>
        </w:rPr>
      </w:r>
      <w:r/>
    </w:p>
    <w:p>
      <w:pPr>
        <w:pStyle w:val="1011"/>
        <w:ind w:left="464"/>
        <w:spacing w:before="159" w:line="221" w:lineRule="auto"/>
        <w:rPr>
          <w:rFonts w:ascii="宋体" w:hAnsi="宋体" w:cs="宋体"/>
        </w:rPr>
      </w:pPr>
      <w:r>
        <w:rPr>
          <w:rFonts w:ascii="宋体" w:hAnsi="宋体" w:cs="宋体"/>
          <w:b/>
          <w:bCs/>
          <w:spacing w:val="-4"/>
        </w:rPr>
        <w:t xml:space="preserve">7.招标文件</w:t>
      </w:r>
      <w:r>
        <w:rPr>
          <w:rFonts w:ascii="宋体" w:hAnsi="宋体" w:cs="宋体"/>
        </w:rPr>
      </w:r>
      <w:r/>
    </w:p>
    <w:p>
      <w:pPr>
        <w:pStyle w:val="1011"/>
        <w:ind w:left="38" w:right="26" w:firstLine="423"/>
        <w:spacing w:before="157" w:line="324" w:lineRule="auto"/>
        <w:rPr>
          <w:rFonts w:ascii="宋体" w:hAnsi="宋体" w:cs="宋体"/>
        </w:rPr>
      </w:pPr>
      <w:r/>
      <w:bookmarkStart w:id="34" w:name="OLE_LINK51"/>
      <w:r>
        <w:rPr>
          <w:rFonts w:ascii="宋体" w:hAnsi="宋体" w:cs="宋体"/>
        </w:rPr>
        <w:t xml:space="preserve">7.1招标文件由招标文件目录所列内容组成，投标人获取招标</w:t>
      </w:r>
      <w:r>
        <w:rPr>
          <w:rFonts w:ascii="宋体" w:hAnsi="宋体" w:cs="宋体"/>
          <w:spacing w:val="-1"/>
        </w:rPr>
        <w:t xml:space="preserve">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w:t>
      </w:r>
      <w:r>
        <w:rPr>
          <w:rFonts w:ascii="宋体" w:hAnsi="宋体" w:cs="宋体"/>
          <w:spacing w:val="-2"/>
        </w:rPr>
        <w:t xml:space="preserve">并根据有关条款规定，该投标有可能被拒绝。</w:t>
      </w:r>
      <w:r>
        <w:rPr>
          <w:rFonts w:ascii="宋体" w:hAnsi="宋体" w:cs="宋体"/>
        </w:rPr>
      </w:r>
      <w:r/>
    </w:p>
    <w:p>
      <w:pPr>
        <w:pStyle w:val="1011"/>
        <w:ind w:left="36" w:right="52" w:firstLine="425"/>
        <w:spacing w:before="158" w:line="290" w:lineRule="auto"/>
        <w:rPr>
          <w:rFonts w:ascii="宋体" w:hAnsi="宋体" w:cs="宋体"/>
        </w:rPr>
      </w:pPr>
      <w:r>
        <w:rPr>
          <w:rFonts w:ascii="宋体" w:hAnsi="宋体" w:cs="宋体"/>
        </w:rPr>
        <w:t xml:space="preserve">7.2招标文件及其更正公告（如有）不是直接从“吴江区公共</w:t>
      </w:r>
      <w:r>
        <w:rPr>
          <w:rFonts w:ascii="宋体" w:hAnsi="宋体" w:cs="宋体"/>
          <w:spacing w:val="-1"/>
        </w:rPr>
        <w:t xml:space="preserve">资源网上交易系统”或者“苏州市政府</w:t>
      </w:r>
      <w:r>
        <w:rPr>
          <w:rFonts w:ascii="宋体" w:hAnsi="宋体" w:cs="宋体"/>
        </w:rPr>
        <w:t xml:space="preserve">采购网”下载获取的，招标采购单位对招标文件及其补遗的真实性、完整性不承担任何责</w:t>
      </w:r>
      <w:r>
        <w:rPr>
          <w:rFonts w:ascii="宋体" w:hAnsi="宋体" w:cs="宋体"/>
          <w:spacing w:val="-1"/>
        </w:rPr>
        <w:t xml:space="preserve">任。</w:t>
      </w:r>
      <w:bookmarkEnd w:id="34"/>
      <w:r>
        <w:rPr>
          <w:rFonts w:ascii="宋体" w:hAnsi="宋体" w:cs="宋体"/>
        </w:rPr>
      </w:r>
      <w:r/>
    </w:p>
    <w:p>
      <w:pPr>
        <w:pStyle w:val="1011"/>
        <w:ind w:firstLine="414"/>
        <w:spacing w:before="157" w:line="221" w:lineRule="auto"/>
        <w:rPr>
          <w:rFonts w:ascii="宋体" w:hAnsi="宋体" w:cs="宋体"/>
        </w:rPr>
      </w:pPr>
      <w:r/>
      <w:bookmarkStart w:id="35" w:name="OLE_LINK52"/>
      <w:r>
        <w:rPr>
          <w:rFonts w:ascii="宋体" w:hAnsi="宋体" w:cs="宋体"/>
          <w:b/>
          <w:bCs/>
          <w:spacing w:val="-2"/>
        </w:rPr>
        <w:t xml:space="preserve">8.招标文件的澄清和修改</w:t>
      </w:r>
      <w:r>
        <w:rPr>
          <w:rFonts w:ascii="宋体" w:hAnsi="宋体" w:cs="宋体"/>
        </w:rPr>
      </w:r>
      <w:r/>
    </w:p>
    <w:p>
      <w:pPr>
        <w:pStyle w:val="1011"/>
        <w:ind w:left="37" w:right="27" w:firstLine="420"/>
        <w:spacing w:before="158" w:line="313" w:lineRule="auto"/>
        <w:rPr>
          <w:rFonts w:ascii="宋体" w:hAnsi="宋体" w:cs="宋体"/>
        </w:rPr>
      </w:pPr>
      <w:r>
        <w:rPr>
          <w:rFonts w:ascii="宋体" w:hAnsi="宋体" w:cs="宋体"/>
        </w:rPr>
        <w:t xml:space="preserve">8.1采购人或采购代理机构无论出于自己的考虑，还是出于对投标人提问的</w:t>
      </w:r>
      <w:r>
        <w:rPr>
          <w:rFonts w:ascii="宋体" w:hAnsi="宋体" w:cs="宋体"/>
          <w:spacing w:val="-1"/>
        </w:rPr>
        <w:t xml:space="preserve">澄清，均可对已发出的招标文件用补充通知（包括更正公告）的方式进行澄清或者修改，但不得改变采购标的和资格条件，并通过苏州市政府采购网对外进行发布。澄清或者修改的内容为招标文件的组成部分。</w:t>
      </w:r>
      <w:r>
        <w:rPr>
          <w:rFonts w:ascii="宋体" w:hAnsi="宋体" w:cs="宋体"/>
        </w:rPr>
      </w:r>
      <w:r/>
    </w:p>
    <w:p>
      <w:pPr>
        <w:pStyle w:val="1011"/>
        <w:ind w:left="37" w:right="25" w:firstLine="420"/>
        <w:spacing w:before="157" w:line="313" w:lineRule="auto"/>
        <w:rPr>
          <w:rFonts w:ascii="宋体" w:hAnsi="宋体" w:cs="宋体"/>
        </w:rPr>
      </w:pPr>
      <w:r>
        <w:rPr>
          <w:rFonts w:ascii="宋体" w:hAnsi="宋体" w:cs="宋体"/>
        </w:rPr>
        <w:t xml:space="preserve">8.2澄清或者修改的内容可能影响投标文件编制的，采购人或者采购代理</w:t>
      </w:r>
      <w:r>
        <w:rPr>
          <w:rFonts w:ascii="宋体" w:hAnsi="宋体" w:cs="宋体"/>
          <w:spacing w:val="-1"/>
        </w:rPr>
        <w:t xml:space="preserve">机构应当在投标截止时间至</w:t>
      </w:r>
      <w:r>
        <w:rPr>
          <w:rFonts w:ascii="宋体" w:hAnsi="宋体" w:cs="宋体"/>
          <w:spacing w:val="-4"/>
        </w:rPr>
        <w:t xml:space="preserve">少15 日前，通过苏州市政府采购网对外进行发布；不足15 日的，采购人或者采购代理机构应当顺延提交</w:t>
      </w:r>
      <w:r>
        <w:rPr>
          <w:rFonts w:ascii="宋体" w:hAnsi="宋体" w:cs="宋体"/>
          <w:spacing w:val="-1"/>
        </w:rPr>
        <w:t xml:space="preserve">投标文件的截止时间。</w:t>
      </w:r>
      <w:r>
        <w:rPr>
          <w:rFonts w:ascii="宋体" w:hAnsi="宋体" w:cs="宋体"/>
        </w:rPr>
      </w:r>
      <w:r/>
    </w:p>
    <w:p>
      <w:pPr>
        <w:pStyle w:val="1011"/>
        <w:ind w:left="457"/>
        <w:spacing w:before="158" w:line="220" w:lineRule="auto"/>
        <w:rPr>
          <w:rFonts w:ascii="宋体" w:hAnsi="宋体" w:cs="宋体"/>
        </w:rPr>
      </w:pPr>
      <w:r>
        <w:rPr>
          <w:rFonts w:ascii="宋体" w:hAnsi="宋体" w:cs="宋体"/>
          <w:spacing w:val="-1"/>
        </w:rPr>
        <w:t xml:space="preserve">8.3补充通知（包括更正公告）将作为招标文件的组成部分，对所有投标人有约束力。</w:t>
      </w:r>
      <w:r>
        <w:rPr>
          <w:rFonts w:ascii="宋体" w:hAnsi="宋体" w:cs="宋体"/>
        </w:rPr>
      </w:r>
      <w:r/>
    </w:p>
    <w:p>
      <w:pPr>
        <w:pStyle w:val="1011"/>
        <w:ind w:left="39" w:right="24" w:firstLine="418"/>
        <w:spacing w:before="160" w:line="312" w:lineRule="auto"/>
        <w:rPr>
          <w:rFonts w:ascii="宋体" w:hAnsi="宋体" w:cs="宋体"/>
        </w:rPr>
      </w:pPr>
      <w:r>
        <w:rPr>
          <w:rFonts w:ascii="宋体" w:hAnsi="宋体" w:cs="宋体"/>
        </w:rPr>
        <w:t xml:space="preserve">8.4招标文件的澄清、修改、补充等内容</w:t>
      </w:r>
      <w:r>
        <w:rPr>
          <w:rFonts w:ascii="宋体" w:hAnsi="宋体" w:cs="宋体"/>
          <w:spacing w:val="-1"/>
        </w:rPr>
        <w:t xml:space="preserve">均以苏州市政府采购网上发布的内容为准。澄清、修改、补充等内容与招标文件在同一内容的表述上不一致时，以发出日期最接近开标时间的补充通知（包括更正公</w:t>
      </w:r>
      <w:r>
        <w:rPr>
          <w:rFonts w:ascii="宋体" w:hAnsi="宋体" w:cs="宋体"/>
          <w:spacing w:val="-5"/>
        </w:rPr>
        <w:t xml:space="preserve">告）为准。</w:t>
      </w:r>
      <w:bookmarkEnd w:id="35"/>
      <w:r>
        <w:rPr>
          <w:rFonts w:ascii="宋体" w:hAnsi="宋体" w:cs="宋体"/>
        </w:rPr>
      </w:r>
      <w:r/>
    </w:p>
    <w:p>
      <w:pPr>
        <w:pStyle w:val="1011"/>
        <w:spacing w:line="303" w:lineRule="auto"/>
        <w:rPr>
          <w:rFonts w:ascii="宋体" w:hAnsi="宋体" w:cs="宋体"/>
        </w:rPr>
      </w:pPr>
      <w:r>
        <w:rPr>
          <w:rFonts w:ascii="宋体" w:hAnsi="宋体" w:cs="宋体"/>
        </w:rPr>
      </w:r>
      <w:r/>
    </w:p>
    <w:p>
      <w:pPr>
        <w:pStyle w:val="1011"/>
        <w:ind w:firstLine="422"/>
        <w:spacing w:line="360" w:lineRule="auto"/>
        <w:rPr>
          <w:b/>
        </w:rPr>
      </w:pPr>
      <w:r>
        <w:rPr>
          <w:b/>
        </w:rPr>
        <w:t xml:space="preserve">9.勘察现场（不涉及此条的忽略）</w:t>
      </w:r>
      <w:r/>
    </w:p>
    <w:p>
      <w:pPr>
        <w:pStyle w:val="1011"/>
        <w:ind w:firstLine="420"/>
        <w:spacing w:line="360" w:lineRule="auto"/>
      </w:pPr>
      <w:r>
        <w:t xml:space="preserve">9.1根据自身投标需要，投标人可对有关现场和周围环境进行勘察，以获取编制投标文件和签署合同所需的信息。勘察现场所发生的费用由投标人自己承担。</w:t>
      </w:r>
      <w:r/>
    </w:p>
    <w:p>
      <w:pPr>
        <w:pStyle w:val="1011"/>
        <w:ind w:firstLine="420"/>
        <w:spacing w:line="360" w:lineRule="auto"/>
      </w:pPr>
      <w: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pStyle w:val="1011"/>
        <w:ind w:firstLine="420"/>
        <w:spacing w:line="360" w:lineRule="auto"/>
      </w:pPr>
      <w:r>
        <w:t xml:space="preserve">9.3经采购人允许，投标人可为勘察目的进入采购人的项目现场，但投标人不得因此使采购人承担有关的责任和蒙受损失。投标人应承担勘察现场的责任和风险。</w:t>
      </w:r>
      <w:r/>
    </w:p>
    <w:p>
      <w:pPr>
        <w:pStyle w:val="1011"/>
        <w:ind w:firstLine="420"/>
        <w:spacing w:line="360" w:lineRule="auto"/>
      </w:pPr>
      <w: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pStyle w:val="1011"/>
        <w:spacing w:line="303" w:lineRule="auto"/>
        <w:rPr>
          <w:rFonts w:ascii="宋体" w:hAnsi="宋体" w:cs="宋体"/>
        </w:rPr>
      </w:pPr>
      <w:r>
        <w:rPr>
          <w:rFonts w:ascii="宋体" w:hAnsi="宋体" w:cs="宋体"/>
        </w:rPr>
      </w:r>
      <w:r/>
    </w:p>
    <w:p>
      <w:pPr>
        <w:pStyle w:val="1011"/>
        <w:ind w:firstLine="422"/>
        <w:spacing w:line="360" w:lineRule="auto"/>
        <w:rPr>
          <w:b/>
        </w:rPr>
      </w:pPr>
      <w:r>
        <w:rPr>
          <w:b/>
        </w:rPr>
        <w:t xml:space="preserve">10.投标质疑</w:t>
      </w:r>
      <w:r/>
    </w:p>
    <w:p>
      <w:pPr>
        <w:pStyle w:val="1011"/>
        <w:ind w:firstLine="420"/>
        <w:spacing w:line="360" w:lineRule="auto"/>
      </w:pPr>
      <w: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1"/>
        <w:ind w:firstLine="420"/>
        <w:spacing w:line="360" w:lineRule="auto"/>
      </w:pPr>
      <w:r>
        <w:t xml:space="preserve">10.2本次招标文件要求供应商在法定质疑期内一次性提出针对同一采购程序环节的质疑，否则不予受理。</w:t>
      </w:r>
      <w:r/>
    </w:p>
    <w:p>
      <w:pPr>
        <w:pStyle w:val="1011"/>
        <w:ind w:firstLine="420"/>
        <w:spacing w:line="360" w:lineRule="auto"/>
      </w:pPr>
      <w:r>
        <w:t xml:space="preserve">10.3供应商提出质疑应当提交质疑函和必要的证明材料，质疑函应当包括下列内容：</w:t>
      </w:r>
      <w:r/>
    </w:p>
    <w:p>
      <w:pPr>
        <w:pStyle w:val="1011"/>
        <w:ind w:firstLine="420"/>
        <w:spacing w:line="360" w:lineRule="auto"/>
      </w:pPr>
      <w:r>
        <w:t xml:space="preserve">（1）供应商的姓名或者名称（以提供的营业执照副本复印件为准）、地址、邮编、联系人及联系电话；</w:t>
      </w:r>
      <w:r/>
    </w:p>
    <w:p>
      <w:pPr>
        <w:pStyle w:val="1011"/>
        <w:ind w:firstLine="420"/>
        <w:spacing w:line="360" w:lineRule="auto"/>
      </w:pPr>
      <w:r>
        <w:t xml:space="preserve">（2）质疑项目的名称、编号；</w:t>
      </w:r>
      <w:r/>
    </w:p>
    <w:p>
      <w:pPr>
        <w:pStyle w:val="1011"/>
        <w:ind w:firstLine="420"/>
        <w:spacing w:line="360" w:lineRule="auto"/>
      </w:pPr>
      <w:r>
        <w:t xml:space="preserve">（3）具体、明确的质疑事项和与质疑事项相关的请求；</w:t>
      </w:r>
      <w:r/>
    </w:p>
    <w:p>
      <w:pPr>
        <w:pStyle w:val="1011"/>
        <w:ind w:firstLine="420"/>
        <w:spacing w:line="360" w:lineRule="auto"/>
      </w:pPr>
      <w:r>
        <w:t xml:space="preserve">（4）事实依据；</w:t>
      </w:r>
      <w:r/>
    </w:p>
    <w:p>
      <w:pPr>
        <w:pStyle w:val="1011"/>
        <w:ind w:firstLine="420"/>
        <w:spacing w:line="360" w:lineRule="auto"/>
      </w:pPr>
      <w:r>
        <w:t xml:space="preserve">（5）必要的法律依据；</w:t>
      </w:r>
      <w:r/>
    </w:p>
    <w:p>
      <w:pPr>
        <w:pStyle w:val="1011"/>
        <w:ind w:firstLine="420"/>
        <w:spacing w:line="360" w:lineRule="auto"/>
      </w:pPr>
      <w:r>
        <w:t xml:space="preserve">（6）提出质疑的日期。</w:t>
      </w:r>
      <w:r/>
    </w:p>
    <w:p>
      <w:pPr>
        <w:pStyle w:val="1011"/>
        <w:ind w:firstLine="420"/>
        <w:spacing w:line="360" w:lineRule="auto"/>
      </w:pPr>
      <w:r>
        <w:t xml:space="preserve">供应商为自然人的，应当由本人签字；供应商为法人或者其他组织的，应当由法定代表人、主要负责人，或者其授权代表签字或者盖章，并加盖公章。供应商委托代理进行质疑的，其</w:t>
      </w:r>
      <w:r>
        <w:rPr>
          <w:b/>
        </w:rPr>
        <w:t xml:space="preserve">授权委托书</w:t>
      </w:r>
      <w:r>
        <w:t xml:space="preserve">上应当载明代理人的姓名或者名称、代理事项、具体权限、期限和相关事项。</w:t>
      </w:r>
      <w:r/>
    </w:p>
    <w:p>
      <w:pPr>
        <w:pStyle w:val="1011"/>
        <w:ind w:firstLine="420"/>
        <w:spacing w:line="360" w:lineRule="auto"/>
        <w:rPr>
          <w:b/>
        </w:rPr>
      </w:pPr>
      <w:r>
        <w:t xml:space="preserve">10.4根据《</w:t>
      </w:r>
      <w:bookmarkStart w:id="36" w:name="OLE_LINK124"/>
      <w:r>
        <w:t xml:space="preserve">政府采购质疑和投诉办法》（</w:t>
      </w:r>
      <w:bookmarkStart w:id="37" w:name="OLE_LINK125"/>
      <w:r/>
      <w:bookmarkStart w:id="38" w:name="OLE_LINK126"/>
      <w:r>
        <w:t xml:space="preserve">财政部第94号令</w:t>
      </w:r>
      <w:bookmarkEnd w:id="36"/>
      <w:r/>
      <w:bookmarkEnd w:id="37"/>
      <w:r/>
      <w:bookmarkEnd w:id="38"/>
      <w:r>
        <w:t xml:space="preserve">）第十一条规定，提出质疑的供应商应当是参与所质疑项目采购活动的供应商。因此凡是对招标文件提出质疑的供应商，必须是依法获取招标文件，请将合法获取招标文件的证明材料（即</w:t>
      </w:r>
      <w:r>
        <w:rPr>
          <w:b/>
        </w:rPr>
        <w:t xml:space="preserve">《投标供应商确认函》</w:t>
      </w:r>
      <w:r>
        <w:t xml:space="preserve">）与质疑函一起递交，否则不予受理。</w:t>
      </w:r>
      <w:r>
        <w:rPr>
          <w:b/>
        </w:rPr>
      </w:r>
      <w:r/>
    </w:p>
    <w:p>
      <w:pPr>
        <w:pStyle w:val="1011"/>
        <w:ind w:firstLine="420"/>
        <w:spacing w:line="360" w:lineRule="auto"/>
      </w:pPr>
      <w:r>
        <w:t xml:space="preserve">10.5接收质疑函的方式：书面形式（当场送达或邮寄方式）。</w:t>
      </w:r>
      <w:r/>
    </w:p>
    <w:p>
      <w:pPr>
        <w:pStyle w:val="1011"/>
        <w:ind w:firstLine="420"/>
        <w:spacing w:line="360" w:lineRule="auto"/>
        <w:rPr>
          <w:rFonts w:ascii="宋体" w:hAnsi="宋体" w:cs="宋体"/>
        </w:rPr>
      </w:pPr>
      <w:r>
        <w:rPr>
          <w:rFonts w:hint="eastAsia" w:ascii="宋体" w:hAnsi="宋体" w:cs="宋体"/>
        </w:rPr>
        <w:t xml:space="preserve">采购代理机构：苏州常发工程咨询有限公司</w:t>
      </w:r>
      <w:r>
        <w:rPr>
          <w:rFonts w:ascii="宋体" w:hAnsi="宋体" w:cs="宋体"/>
        </w:rPr>
      </w:r>
      <w:r/>
    </w:p>
    <w:p>
      <w:pPr>
        <w:pStyle w:val="1011"/>
        <w:ind w:firstLine="420"/>
        <w:spacing w:line="360" w:lineRule="auto"/>
        <w:rPr>
          <w:rFonts w:ascii="宋体" w:hAnsi="宋体" w:cs="宋体"/>
        </w:rPr>
      </w:pPr>
      <w:r>
        <w:rPr>
          <w:rFonts w:hint="eastAsia" w:ascii="宋体" w:hAnsi="宋体" w:cs="宋体"/>
        </w:rPr>
        <w:t xml:space="preserve">地址：</w:t>
      </w:r>
      <w:bookmarkStart w:id="39" w:name="OLE_LINK53"/>
      <w:r>
        <w:rPr>
          <w:rFonts w:hint="eastAsia" w:ascii="宋体" w:hAnsi="宋体" w:cs="宋体"/>
        </w:rPr>
        <w:t xml:space="preserve">苏州市吴中区越溪街道旺山村路和薛家湾路交叉口西南（原旺山幼儿园三楼）</w:t>
      </w:r>
      <w:bookmarkEnd w:id="39"/>
      <w:r>
        <w:rPr>
          <w:rFonts w:ascii="宋体" w:hAnsi="宋体" w:cs="宋体"/>
        </w:rPr>
      </w:r>
      <w:r/>
    </w:p>
    <w:p>
      <w:pPr>
        <w:pStyle w:val="1011"/>
        <w:ind w:firstLine="420"/>
        <w:spacing w:line="360" w:lineRule="auto"/>
        <w:rPr>
          <w:rFonts w:ascii="宋体" w:hAnsi="宋体" w:cs="宋体"/>
        </w:rPr>
      </w:pPr>
      <w:r>
        <w:rPr>
          <w:rFonts w:hint="eastAsia" w:ascii="宋体" w:hAnsi="宋体" w:cs="宋体"/>
        </w:rPr>
        <w:t xml:space="preserve">邮编：215200</w:t>
      </w:r>
      <w:r>
        <w:rPr>
          <w:rFonts w:ascii="宋体" w:hAnsi="宋体" w:cs="宋体"/>
        </w:rPr>
      </w:r>
      <w:r/>
    </w:p>
    <w:p>
      <w:pPr>
        <w:pStyle w:val="1011"/>
        <w:ind w:firstLine="420"/>
        <w:spacing w:line="360" w:lineRule="auto"/>
        <w:rPr>
          <w:rFonts w:ascii="宋体" w:hAnsi="宋体" w:cs="宋体"/>
        </w:rPr>
      </w:pPr>
      <w:r>
        <w:rPr>
          <w:rFonts w:hint="eastAsia" w:ascii="宋体" w:hAnsi="宋体" w:cs="宋体"/>
        </w:rPr>
        <w:t xml:space="preserve">联系人：黄彬</w:t>
      </w:r>
      <w:r>
        <w:rPr>
          <w:rFonts w:ascii="宋体" w:hAnsi="宋体" w:cs="宋体"/>
        </w:rPr>
      </w:r>
      <w:r/>
    </w:p>
    <w:p>
      <w:pPr>
        <w:pStyle w:val="1011"/>
        <w:ind w:firstLine="420"/>
        <w:spacing w:line="360" w:lineRule="auto"/>
        <w:rPr>
          <w:rFonts w:ascii="宋体" w:hAnsi="宋体" w:cs="宋体"/>
        </w:rPr>
      </w:pPr>
      <w:r>
        <w:rPr>
          <w:rFonts w:hint="eastAsia" w:ascii="宋体" w:hAnsi="宋体" w:cs="宋体"/>
        </w:rPr>
        <w:t xml:space="preserve">电话：0512-66359719</w:t>
      </w:r>
      <w:r>
        <w:rPr>
          <w:rFonts w:ascii="宋体" w:hAnsi="宋体" w:cs="宋体"/>
        </w:rPr>
      </w:r>
      <w:r/>
    </w:p>
    <w:p>
      <w:pPr>
        <w:pStyle w:val="1011"/>
        <w:spacing w:line="303" w:lineRule="auto"/>
        <w:rPr>
          <w:rFonts w:ascii="宋体" w:hAnsi="宋体" w:cs="宋体"/>
        </w:rPr>
      </w:pPr>
      <w:r>
        <w:rPr>
          <w:rFonts w:ascii="宋体" w:hAnsi="宋体" w:cs="宋体"/>
        </w:rPr>
      </w:r>
      <w:r/>
    </w:p>
    <w:p>
      <w:pPr>
        <w:pStyle w:val="1011"/>
        <w:ind w:firstLine="422"/>
        <w:spacing w:line="360" w:lineRule="auto"/>
        <w:rPr>
          <w:b/>
        </w:rPr>
      </w:pPr>
      <w:r>
        <w:rPr>
          <w:b/>
        </w:rPr>
        <w:t xml:space="preserve">四、投标文件说明</w:t>
      </w:r>
      <w:r/>
    </w:p>
    <w:p>
      <w:pPr>
        <w:pStyle w:val="1011"/>
        <w:ind w:firstLine="422"/>
        <w:spacing w:line="360" w:lineRule="auto"/>
        <w:rPr>
          <w:b/>
        </w:rPr>
      </w:pPr>
      <w:r>
        <w:rPr>
          <w:b/>
        </w:rPr>
        <w:t xml:space="preserve">11.提示与要求</w:t>
      </w:r>
      <w:r/>
    </w:p>
    <w:p>
      <w:pPr>
        <w:pStyle w:val="1011"/>
        <w:ind w:firstLine="420"/>
        <w:spacing w:line="360" w:lineRule="auto"/>
      </w:pPr>
      <w:r>
        <w:t xml:space="preserve">11.1投标人应仔细阅读招标文件的所有内容，应当按照招标文件的要求编制投标文件，并保证所提供全部资料的真实性，以使其投标对招标文件作出实质性投标，否则，其投标可能被拒绝。</w:t>
      </w:r>
      <w:r/>
    </w:p>
    <w:p>
      <w:pPr>
        <w:pStyle w:val="1011"/>
        <w:ind w:firstLine="420"/>
        <w:spacing w:line="360" w:lineRule="auto"/>
      </w:pPr>
      <w:r>
        <w:t xml:space="preserve">11.2无论是否递交投标文件，投标人都应将招标文件及以后的所有通知、文件等视为保密文件。</w:t>
      </w:r>
      <w:r/>
    </w:p>
    <w:p>
      <w:pPr>
        <w:pStyle w:val="1011"/>
        <w:ind w:firstLine="422"/>
        <w:spacing w:line="360" w:lineRule="auto"/>
      </w:pPr>
      <w:r>
        <w:rPr>
          <w:b/>
        </w:rPr>
        <w:t xml:space="preserve">12.投标文件计量单位和使用文字</w:t>
      </w:r>
      <w:r/>
    </w:p>
    <w:p>
      <w:pPr>
        <w:pStyle w:val="1011"/>
        <w:ind w:firstLine="420"/>
        <w:spacing w:line="360" w:lineRule="auto"/>
      </w:pPr>
      <w:r>
        <w:t xml:space="preserve">12.1投标文件中所使用的计量单位，除招标文件中有特殊要求外，均应使用中华人民共和国法定计量单位。</w:t>
      </w:r>
      <w:r/>
    </w:p>
    <w:p>
      <w:pPr>
        <w:pStyle w:val="1011"/>
        <w:ind w:firstLine="420"/>
        <w:spacing w:line="360" w:lineRule="auto"/>
      </w:pPr>
      <w: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p>
    <w:p>
      <w:pPr>
        <w:pStyle w:val="1011"/>
        <w:ind w:firstLine="422"/>
        <w:spacing w:line="360" w:lineRule="auto"/>
        <w:rPr>
          <w:b/>
        </w:rPr>
      </w:pPr>
      <w:r>
        <w:rPr>
          <w:b/>
        </w:rPr>
        <w:t xml:space="preserve">13. 知识产权</w:t>
      </w:r>
      <w:r/>
    </w:p>
    <w:p>
      <w:pPr>
        <w:pStyle w:val="1011"/>
        <w:ind w:firstLine="420"/>
        <w:spacing w:line="360" w:lineRule="auto"/>
      </w:pPr>
      <w: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1"/>
        <w:ind w:firstLine="420"/>
        <w:spacing w:line="360" w:lineRule="auto"/>
      </w:pPr>
      <w:r/>
      <w:r/>
    </w:p>
    <w:p>
      <w:pPr>
        <w:pStyle w:val="1011"/>
        <w:ind w:firstLine="422"/>
        <w:spacing w:line="360" w:lineRule="auto"/>
        <w:tabs>
          <w:tab w:val="left" w:pos="567" w:leader="none"/>
        </w:tabs>
        <w:rPr>
          <w:b/>
        </w:rPr>
      </w:pPr>
      <w:r>
        <w:rPr>
          <w:b/>
        </w:rPr>
        <w:t xml:space="preserve">14.投标文件的组成</w:t>
      </w:r>
      <w:r/>
    </w:p>
    <w:p>
      <w:pPr>
        <w:pStyle w:val="1011"/>
        <w:ind w:firstLine="422"/>
        <w:spacing w:line="360" w:lineRule="auto"/>
        <w:rPr>
          <w:b/>
        </w:rPr>
      </w:pPr>
      <w:r/>
      <w:bookmarkStart w:id="40" w:name="OLE_LINK59"/>
      <w:r>
        <w:rPr>
          <w:b/>
        </w:rPr>
        <w:t xml:space="preserve">14.1投标文件</w:t>
      </w:r>
      <w:bookmarkEnd w:id="40"/>
      <w:r>
        <w:rPr>
          <w:b/>
        </w:rPr>
      </w:r>
      <w:r/>
    </w:p>
    <w:p>
      <w:pPr>
        <w:pStyle w:val="1011"/>
        <w:ind w:firstLine="422"/>
        <w:spacing w:line="360" w:lineRule="auto"/>
        <w:rPr>
          <w:b/>
        </w:rPr>
      </w:pPr>
      <w:r>
        <w:rPr>
          <w:b/>
        </w:rPr>
        <w:t xml:space="preserve">14.1.1封面</w:t>
      </w:r>
      <w:r/>
    </w:p>
    <w:p>
      <w:pPr>
        <w:pStyle w:val="1011"/>
        <w:ind w:firstLine="422"/>
        <w:spacing w:line="360" w:lineRule="auto"/>
      </w:pPr>
      <w:r>
        <w:rPr>
          <w:b/>
        </w:rPr>
        <w:t xml:space="preserve">14.1.2开标一览表</w:t>
      </w:r>
      <w:r/>
    </w:p>
    <w:p>
      <w:pPr>
        <w:pStyle w:val="1011"/>
        <w:ind w:firstLine="422"/>
        <w:spacing w:line="360" w:lineRule="auto"/>
        <w:rPr>
          <w:b/>
        </w:rPr>
      </w:pPr>
      <w:r>
        <w:rPr>
          <w:b/>
        </w:rPr>
        <w:t xml:space="preserve">14.1.3</w:t>
      </w:r>
      <w:r>
        <w:rPr>
          <w:rFonts w:hint="eastAsia"/>
          <w:b/>
        </w:rPr>
        <w:t xml:space="preserve">投标报价分析表</w:t>
      </w:r>
      <w:r>
        <w:rPr>
          <w:b/>
        </w:rPr>
      </w:r>
      <w:r/>
    </w:p>
    <w:p>
      <w:pPr>
        <w:pStyle w:val="1011"/>
        <w:ind w:firstLine="422"/>
        <w:spacing w:line="360" w:lineRule="auto"/>
        <w:rPr>
          <w:b/>
        </w:rPr>
      </w:pPr>
      <w:r>
        <w:rPr>
          <w:b/>
        </w:rPr>
        <w:t xml:space="preserve">14.1.4资格审查文件</w:t>
      </w:r>
      <w:r/>
    </w:p>
    <w:p>
      <w:pPr>
        <w:pStyle w:val="1011"/>
        <w:ind w:firstLine="420"/>
        <w:spacing w:line="360" w:lineRule="auto"/>
      </w:pPr>
      <w:r>
        <w:t xml:space="preserve">14.1.4.1关于资格文件的声明函（格式见第三章）；</w:t>
      </w:r>
      <w:r/>
    </w:p>
    <w:p>
      <w:pPr>
        <w:pStyle w:val="1011"/>
        <w:ind w:firstLine="420"/>
        <w:spacing w:line="360" w:lineRule="auto"/>
      </w:pPr>
      <w:r>
        <w:t xml:space="preserve">14.1.4.2投标人基本情况表（格式见第三章）；</w:t>
      </w:r>
      <w:r/>
    </w:p>
    <w:p>
      <w:pPr>
        <w:pStyle w:val="1011"/>
        <w:ind w:firstLine="420"/>
        <w:spacing w:line="360" w:lineRule="auto"/>
      </w:pPr>
      <w:r>
        <w:t xml:space="preserve">14.1.4.3投标人法定代表人身份证复印件；</w:t>
      </w:r>
      <w:r/>
    </w:p>
    <w:p>
      <w:pPr>
        <w:pStyle w:val="1011"/>
        <w:ind w:firstLine="420"/>
        <w:spacing w:line="360" w:lineRule="auto"/>
      </w:pPr>
      <w:r>
        <w:t xml:space="preserve">14.1.4.4法定代表人授权委托书（如有授权，格式见第三章）；</w:t>
      </w:r>
      <w:r/>
    </w:p>
    <w:p>
      <w:pPr>
        <w:pStyle w:val="1011"/>
        <w:ind w:firstLine="420"/>
        <w:spacing w:line="360" w:lineRule="auto"/>
      </w:pPr>
      <w:r>
        <w:t xml:space="preserve">14.1.4.5投标人授权代理人身份证复印件（如有授权）；</w:t>
      </w:r>
      <w:r/>
    </w:p>
    <w:p>
      <w:pPr>
        <w:pStyle w:val="1011"/>
        <w:spacing w:line="303" w:lineRule="auto"/>
        <w:rPr>
          <w:rFonts w:ascii="宋体" w:hAnsi="宋体" w:cs="宋体"/>
        </w:rPr>
      </w:pPr>
      <w:r>
        <w:rPr>
          <w:rFonts w:ascii="宋体" w:hAnsi="宋体" w:cs="宋体"/>
        </w:rPr>
      </w:r>
      <w:r/>
    </w:p>
    <w:p>
      <w:pPr>
        <w:pStyle w:val="1011"/>
        <w:ind w:firstLine="420"/>
        <w:spacing w:line="360" w:lineRule="auto"/>
        <w:tabs>
          <w:tab w:val="left" w:pos="0" w:leader="none"/>
        </w:tabs>
      </w:pPr>
      <w:r>
        <w:t xml:space="preserve">14.1.4.6合格投标人资格证明材料：</w:t>
      </w:r>
      <w:r/>
    </w:p>
    <w:p>
      <w:pPr>
        <w:pStyle w:val="1011"/>
        <w:ind w:firstLine="420"/>
        <w:spacing w:line="360" w:lineRule="auto"/>
        <w:rPr>
          <w:rFonts w:ascii="宋体" w:hAnsi="宋体" w:cs="宋体"/>
        </w:rPr>
      </w:pPr>
      <w:r/>
      <w:bookmarkStart w:id="41" w:name="OLE_LINK60"/>
      <w:r>
        <w:t xml:space="preserve">（1）</w:t>
      </w:r>
      <w:r>
        <w:rPr>
          <w:rFonts w:hint="eastAsia" w:ascii="宋体" w:hAnsi="宋体" w:cs="宋体"/>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rFonts w:ascii="宋体" w:hAnsi="宋体" w:cs="宋体"/>
        </w:rPr>
      </w:r>
      <w:r/>
    </w:p>
    <w:p>
      <w:pPr>
        <w:pStyle w:val="1011"/>
        <w:ind w:firstLine="420"/>
        <w:spacing w:line="360" w:lineRule="auto"/>
      </w:pPr>
      <w:r>
        <w:t xml:space="preserve">（2）</w:t>
      </w:r>
      <w:r>
        <w:rPr>
          <w:rFonts w:hint="eastAsia" w:ascii="宋体" w:hAnsi="宋体" w:cs="宋体"/>
        </w:rPr>
        <w:t xml:space="preserve">良好的商业信誉和健全的财务会计制度证明的相关材料（包括但不限于最近一期经审计的财务报告复印件或银行出具的资信证明原件的扫描件）；</w:t>
      </w:r>
      <w:r/>
    </w:p>
    <w:p>
      <w:pPr>
        <w:pStyle w:val="1011"/>
        <w:ind w:firstLine="420"/>
        <w:spacing w:line="360" w:lineRule="auto"/>
      </w:pPr>
      <w:r>
        <w:t xml:space="preserve">（3）具备履行合同所必需的设备和专业技术能力的证明材料或承诺；</w:t>
      </w:r>
      <w:r/>
    </w:p>
    <w:p>
      <w:pPr>
        <w:pStyle w:val="1011"/>
        <w:ind w:firstLine="420"/>
        <w:spacing w:line="360" w:lineRule="auto"/>
        <w:tabs>
          <w:tab w:val="left" w:pos="0" w:leader="none"/>
        </w:tabs>
      </w:pPr>
      <w:r>
        <w:t xml:space="preserve">（4）</w:t>
      </w:r>
      <w:r>
        <w:rPr>
          <w:rFonts w:hint="eastAsia" w:ascii="宋体" w:hAnsi="宋体" w:cs="宋体"/>
        </w:rPr>
        <w:t xml:space="preserve">有依法缴纳税收和社会保障资金的良好记录的相关材料（最近一期依法缴纳税收的凭据复印件和最近一期依法缴纳社会保险的凭据复印件（专用收据或社会保险缴纳清单））；</w:t>
      </w:r>
      <w:r/>
    </w:p>
    <w:p>
      <w:pPr>
        <w:pStyle w:val="1011"/>
        <w:ind w:firstLine="420"/>
        <w:spacing w:line="360" w:lineRule="auto"/>
      </w:pPr>
      <w:r>
        <w:t xml:space="preserve">（5）参加政府采购活动前三年内在经营活动中没有重大违法记录的书面声明函。</w:t>
      </w:r>
      <w:r/>
    </w:p>
    <w:p>
      <w:pPr>
        <w:pStyle w:val="1011"/>
        <w:ind w:firstLine="420"/>
        <w:spacing w:line="360" w:lineRule="auto"/>
      </w:pPr>
      <w:r/>
      <w:bookmarkStart w:id="42" w:name="OLE_LINK58"/>
      <w:r>
        <w:t xml:space="preserve">14.1.4.7其它有关资格证明文件：</w:t>
      </w:r>
      <w:bookmarkEnd w:id="41"/>
      <w:r/>
      <w:bookmarkEnd w:id="42"/>
      <w:r/>
      <w:r/>
    </w:p>
    <w:p>
      <w:pPr>
        <w:pStyle w:val="1011"/>
        <w:ind w:firstLine="422"/>
        <w:spacing w:line="360" w:lineRule="auto"/>
        <w:rPr>
          <w:b/>
        </w:rPr>
      </w:pPr>
      <w:r>
        <w:rPr>
          <w:b/>
        </w:rPr>
        <w:t xml:space="preserve">14.1.5符合性审查文件</w:t>
      </w:r>
      <w:r/>
    </w:p>
    <w:p>
      <w:pPr>
        <w:pStyle w:val="1011"/>
        <w:ind w:firstLine="420"/>
        <w:spacing w:line="360" w:lineRule="auto"/>
      </w:pPr>
      <w:r>
        <w:t xml:space="preserve">14.1.5.1投标函（格式见第三章）；</w:t>
      </w:r>
      <w:r/>
    </w:p>
    <w:p>
      <w:pPr>
        <w:pStyle w:val="1011"/>
        <w:ind w:firstLine="408"/>
        <w:spacing w:line="360" w:lineRule="auto"/>
      </w:pPr>
      <w:r>
        <w:t xml:space="preserve">14.1.5.2偏离表（格式见第三章）；</w:t>
      </w:r>
      <w:r/>
    </w:p>
    <w:p>
      <w:pPr>
        <w:pStyle w:val="1011"/>
        <w:ind w:firstLine="408"/>
        <w:spacing w:line="360" w:lineRule="auto"/>
      </w:pPr>
      <w:r>
        <w:t xml:space="preserve">14.1.5.3</w:t>
      </w:r>
      <w:r>
        <w:rPr>
          <w:rFonts w:hint="eastAsia" w:ascii="宋体" w:hAnsi="宋体" w:cs="宋体"/>
        </w:rPr>
        <w:t xml:space="preserve">投标（响应）保证承诺书（必须提供，不提供视为无效标）</w:t>
      </w:r>
      <w:r>
        <w:t xml:space="preserve">；</w:t>
      </w:r>
      <w:r/>
    </w:p>
    <w:p>
      <w:pPr>
        <w:pStyle w:val="1011"/>
        <w:ind w:firstLine="408"/>
        <w:spacing w:line="360" w:lineRule="auto"/>
        <w:rPr>
          <w:b/>
        </w:rPr>
      </w:pPr>
      <w:r>
        <w:t xml:space="preserve">14.1.5.4其他有关符合性证明的文件；</w:t>
      </w:r>
      <w:r>
        <w:rPr>
          <w:b/>
        </w:rPr>
      </w:r>
      <w:r/>
    </w:p>
    <w:p>
      <w:pPr>
        <w:pStyle w:val="1011"/>
        <w:ind w:firstLine="408"/>
        <w:spacing w:line="360" w:lineRule="auto"/>
        <w:rPr>
          <w:b/>
        </w:rPr>
      </w:pPr>
      <w:r>
        <w:rPr>
          <w:b/>
        </w:rPr>
        <w:t xml:space="preserve">14.1.6综合评审文件</w:t>
      </w:r>
      <w:r/>
    </w:p>
    <w:p>
      <w:pPr>
        <w:pStyle w:val="1011"/>
        <w:ind w:firstLine="408"/>
        <w:spacing w:line="360" w:lineRule="auto"/>
        <w:rPr>
          <w:lang w:val="zh-CN"/>
        </w:rPr>
      </w:pPr>
      <w:r>
        <w:rPr>
          <w:lang w:val="zh-CN"/>
        </w:rPr>
        <w:t xml:space="preserve">14.1.6.1</w:t>
      </w:r>
      <w:r>
        <w:rPr>
          <w:rFonts w:hint="eastAsia"/>
          <w:lang w:val="zh-CN"/>
        </w:rPr>
        <w:t xml:space="preserve">服务方案；</w:t>
      </w:r>
      <w:r>
        <w:rPr>
          <w:lang w:val="zh-CN"/>
        </w:rPr>
      </w:r>
      <w:r/>
    </w:p>
    <w:p>
      <w:pPr>
        <w:pStyle w:val="1011"/>
        <w:ind w:firstLine="408"/>
        <w:spacing w:line="360" w:lineRule="auto"/>
        <w:rPr>
          <w:lang w:val="zh-CN"/>
        </w:rPr>
      </w:pPr>
      <w:r>
        <w:rPr>
          <w:lang w:val="zh-CN"/>
        </w:rPr>
        <w:t xml:space="preserve">14.1.6.2</w:t>
      </w:r>
      <w:bookmarkStart w:id="43" w:name="OLE_LINK61"/>
      <w:r>
        <w:rPr>
          <w:rFonts w:hint="eastAsia"/>
          <w:lang w:val="zh-CN"/>
        </w:rPr>
        <w:t xml:space="preserve">投标单位投入本项目人员实力比较</w:t>
      </w:r>
      <w:bookmarkEnd w:id="43"/>
      <w:r>
        <w:rPr>
          <w:rFonts w:hint="eastAsia"/>
          <w:lang w:val="zh-CN"/>
        </w:rPr>
        <w:t xml:space="preserve">；</w:t>
      </w:r>
      <w:r>
        <w:rPr>
          <w:lang w:val="zh-CN"/>
        </w:rPr>
      </w:r>
      <w:r/>
    </w:p>
    <w:p>
      <w:pPr>
        <w:pStyle w:val="1011"/>
        <w:ind w:firstLine="408"/>
        <w:spacing w:line="360" w:lineRule="auto"/>
        <w:rPr>
          <w:lang w:val="zh-CN"/>
        </w:rPr>
      </w:pPr>
      <w:r>
        <w:rPr>
          <w:lang w:val="zh-CN"/>
        </w:rPr>
        <w:t xml:space="preserve">14.1.6.3</w:t>
      </w:r>
      <w:r>
        <w:rPr>
          <w:rFonts w:hint="eastAsia"/>
          <w:lang w:val="zh-CN"/>
        </w:rPr>
        <w:t xml:space="preserve">投标单位综合实力比较；</w:t>
      </w:r>
      <w:r>
        <w:rPr>
          <w:lang w:val="zh-CN"/>
        </w:rPr>
      </w:r>
      <w:r/>
    </w:p>
    <w:p>
      <w:pPr>
        <w:pStyle w:val="1011"/>
        <w:ind w:firstLine="408"/>
        <w:spacing w:line="360" w:lineRule="auto"/>
        <w:rPr>
          <w:lang w:val="zh-CN"/>
        </w:rPr>
      </w:pPr>
      <w:r>
        <w:rPr>
          <w:lang w:val="zh-CN"/>
        </w:rPr>
        <w:t xml:space="preserve">14.1.6.4</w:t>
      </w:r>
      <w:bookmarkStart w:id="44" w:name="OLE_LINK62"/>
      <w:r>
        <w:rPr>
          <w:rFonts w:hint="eastAsia"/>
          <w:lang w:val="zh-CN"/>
        </w:rPr>
        <w:t xml:space="preserve">类似业绩</w:t>
      </w:r>
      <w:bookmarkEnd w:id="44"/>
      <w:r>
        <w:rPr>
          <w:rFonts w:hint="eastAsia"/>
          <w:lang w:val="zh-CN"/>
        </w:rPr>
        <w:t xml:space="preserve">；</w:t>
      </w:r>
      <w:r>
        <w:rPr>
          <w:lang w:val="zh-CN"/>
        </w:rPr>
      </w:r>
      <w:r/>
    </w:p>
    <w:p>
      <w:pPr>
        <w:pStyle w:val="1011"/>
        <w:ind w:firstLine="408"/>
        <w:spacing w:line="360" w:lineRule="auto"/>
        <w:rPr>
          <w:lang w:val="zh-CN"/>
        </w:rPr>
      </w:pPr>
      <w:r>
        <w:t xml:space="preserve">14.1.7对属于《节能产品政府采购品目清单》政府强制采购产品的，需提供该产品有效期内的认证等相关证明材料（如有）；</w:t>
      </w:r>
      <w:r>
        <w:rPr>
          <w:lang w:val="zh-CN"/>
        </w:rPr>
      </w:r>
      <w:r/>
    </w:p>
    <w:p>
      <w:pPr>
        <w:pStyle w:val="1011"/>
        <w:ind w:firstLine="422"/>
        <w:spacing w:line="360" w:lineRule="auto"/>
      </w:pPr>
      <w:r/>
      <w:bookmarkStart w:id="45" w:name="OLE_LINK24"/>
      <w:r/>
      <w:bookmarkStart w:id="46" w:name="OLE_LINK23"/>
      <w:r>
        <w:t xml:space="preserve">14.1.8</w:t>
      </w:r>
      <w:bookmarkEnd w:id="45"/>
      <w:r/>
      <w:bookmarkEnd w:id="46"/>
      <w:r>
        <w:t xml:space="preserve">其他可以证明投标人资质、服务质量的证书、文件等相关资料。</w:t>
      </w:r>
      <w:r/>
    </w:p>
    <w:p>
      <w:pPr>
        <w:pStyle w:val="1011"/>
        <w:ind w:firstLine="430"/>
        <w:spacing w:line="360" w:lineRule="auto"/>
        <w:rPr>
          <w:b/>
          <w:bCs/>
          <w:lang w:val="zh-CN"/>
        </w:rPr>
      </w:pPr>
      <w:r>
        <w:rPr>
          <w:b/>
          <w:bCs/>
          <w:lang w:val="zh-CN"/>
        </w:rPr>
        <w:t xml:space="preserve">注：（1）以上14.1.4.1-14.1.4.</w:t>
      </w:r>
      <w:r>
        <w:rPr>
          <w:rFonts w:hint="eastAsia"/>
          <w:b/>
          <w:bCs/>
          <w:lang w:val="zh-CN"/>
        </w:rPr>
        <w:t xml:space="preserve">7</w:t>
      </w:r>
      <w:r>
        <w:rPr>
          <w:b/>
          <w:bCs/>
          <w:lang w:val="zh-CN"/>
        </w:rPr>
        <w:t xml:space="preserve">为资格审查要求提供的材料，是作为对供应商资格审查、质疑身份认定的依据，投标人必须提供并加盖电子公章。否则，投标文件将被认定为不符合资格审查要求。</w:t>
      </w:r>
      <w:r/>
    </w:p>
    <w:p>
      <w:pPr>
        <w:pStyle w:val="1011"/>
        <w:ind w:firstLine="430"/>
        <w:spacing w:line="360" w:lineRule="auto"/>
        <w:rPr>
          <w:b/>
          <w:bCs/>
          <w:lang w:val="zh-CN"/>
        </w:rPr>
      </w:pPr>
      <w:r>
        <w:rPr>
          <w:b/>
          <w:bCs/>
          <w:lang w:val="zh-CN"/>
        </w:rPr>
        <w:t xml:space="preserve">（2）以上14.1.5.1-14.1.5.4为符合性审查须提供的资料，投标人必须提供并加盖电子公章。否则，投标文件将被认定为未实质性响应。</w:t>
      </w:r>
      <w:r/>
    </w:p>
    <w:p>
      <w:pPr>
        <w:pStyle w:val="1011"/>
        <w:ind w:firstLine="430"/>
        <w:spacing w:line="360" w:lineRule="auto"/>
        <w:rPr>
          <w:lang w:val="zh-CN"/>
        </w:rPr>
      </w:pPr>
      <w:r>
        <w:rPr>
          <w:b/>
          <w:lang w:val="zh-CN"/>
        </w:rPr>
        <w:t xml:space="preserve">（3）</w:t>
      </w:r>
      <w:r>
        <w:rPr>
          <w:lang w:val="zh-CN"/>
        </w:rPr>
        <w:t xml:space="preserve">投标人所提交的资料的完整与否，将直接影响投标人的评分。</w:t>
      </w:r>
      <w:r/>
    </w:p>
    <w:p>
      <w:pPr>
        <w:pStyle w:val="1011"/>
        <w:ind w:firstLine="430"/>
        <w:spacing w:line="360" w:lineRule="auto"/>
        <w:rPr>
          <w:b/>
          <w:bCs/>
          <w:lang w:val="zh-CN"/>
        </w:rPr>
      </w:pPr>
      <w:r>
        <w:rPr>
          <w:b/>
          <w:lang w:val="zh-CN"/>
        </w:rPr>
        <w:t xml:space="preserve">（4）制作电子投标文件时必须与投标文件制作软件目录一一对应，将相关资料上传至相应模块。</w:t>
      </w:r>
      <w:r>
        <w:rPr>
          <w:b/>
          <w:bCs/>
          <w:lang w:val="zh-CN"/>
        </w:rPr>
      </w:r>
      <w:r/>
    </w:p>
    <w:p>
      <w:pPr>
        <w:pStyle w:val="1011"/>
        <w:ind w:firstLine="430"/>
        <w:spacing w:line="360" w:lineRule="auto"/>
        <w:rPr>
          <w:b/>
          <w:lang w:val="zh-CN"/>
        </w:rPr>
      </w:pPr>
      <w:r>
        <w:rPr>
          <w:b/>
          <w:lang w:val="zh-CN"/>
        </w:rPr>
        <w:t xml:space="preserve">（5）开评标过程中如有问题采购代理机构工作人员会及时通过《投标供应商确认函》留存的手机号与供应商联系。请供应商确保该手机号通讯畅通，否则导致的不利后果由供应商自行承担。</w:t>
      </w:r>
      <w:r/>
    </w:p>
    <w:p>
      <w:pPr>
        <w:pStyle w:val="1011"/>
        <w:ind w:firstLine="422"/>
        <w:spacing w:line="360" w:lineRule="auto"/>
        <w:rPr>
          <w:b/>
        </w:rPr>
      </w:pPr>
      <w:r>
        <w:rPr>
          <w:b/>
        </w:rPr>
        <w:t xml:space="preserve">15.投标文件编制要求</w:t>
      </w:r>
      <w:r/>
    </w:p>
    <w:p>
      <w:pPr>
        <w:pStyle w:val="1011"/>
        <w:ind w:firstLine="422"/>
        <w:spacing w:line="360" w:lineRule="auto"/>
        <w:rPr>
          <w:b/>
        </w:rPr>
      </w:pPr>
      <w:r>
        <w:rPr>
          <w:rFonts w:hint="eastAsia" w:ascii="宋体" w:hAnsi="宋体" w:cs="宋体"/>
        </w:rPr>
        <w:t xml:space="preserve">15.1</w:t>
      </w:r>
      <w:r>
        <w:rPr>
          <w:rFonts w:ascii="宋体" w:hAnsi="宋体" w:cs="宋体"/>
        </w:rPr>
        <w:t xml:space="preserve">投标文件按统一格式、顺序编写，</w:t>
      </w:r>
      <w:r>
        <w:rPr>
          <w:rFonts w:hint="eastAsia" w:ascii="宋体" w:hAnsi="宋体" w:cs="宋体"/>
        </w:rPr>
        <w:t xml:space="preserve">并在首页编制“投标文件目录”</w:t>
      </w:r>
      <w:r>
        <w:rPr>
          <w:b/>
        </w:rPr>
        <w:t xml:space="preserve">。</w:t>
      </w:r>
      <w:r/>
    </w:p>
    <w:p>
      <w:pPr>
        <w:pStyle w:val="1011"/>
        <w:ind w:firstLine="422"/>
        <w:spacing w:line="360" w:lineRule="auto"/>
        <w:rPr>
          <w:rFonts w:ascii="宋体" w:hAnsi="宋体" w:cs="宋体"/>
        </w:rPr>
      </w:pPr>
      <w:r/>
      <w:bookmarkStart w:id="47" w:name="OLE_LINK147"/>
      <w:r/>
      <w:bookmarkStart w:id="48" w:name="OLE_LINK146"/>
      <w:r>
        <w:rPr>
          <w:rFonts w:hint="eastAsia" w:ascii="宋体" w:hAnsi="宋体" w:cs="宋体"/>
        </w:rPr>
        <w:t xml:space="preserve">15.2电子投标文件制作</w:t>
      </w:r>
      <w:bookmarkEnd w:id="47"/>
      <w:r/>
      <w:bookmarkEnd w:id="48"/>
      <w:r>
        <w:rPr>
          <w:rFonts w:ascii="宋体" w:hAnsi="宋体" w:cs="宋体"/>
        </w:rPr>
      </w:r>
      <w:r/>
    </w:p>
    <w:p>
      <w:pPr>
        <w:pStyle w:val="1011"/>
        <w:ind w:firstLine="422"/>
        <w:spacing w:line="360" w:lineRule="auto"/>
        <w:rPr>
          <w:rFonts w:ascii="宋体" w:hAnsi="宋体" w:cs="宋体"/>
        </w:rPr>
      </w:pPr>
      <w:r/>
      <w:bookmarkStart w:id="49" w:name="OLE_LINK145"/>
      <w:r/>
      <w:bookmarkStart w:id="50" w:name="OLE_LINK144"/>
      <w:r>
        <w:rPr>
          <w:rFonts w:hint="eastAsia" w:ascii="宋体" w:hAnsi="宋体" w:cs="宋体"/>
        </w:rPr>
        <w:t xml:space="preserve">（1）在苏采云系统中下载招标文件后，点击“客户端下载地址”，下载投标文件客户端，查看客户端使用说明。</w:t>
      </w:r>
      <w:r>
        <w:rPr>
          <w:rFonts w:ascii="宋体" w:hAnsi="宋体" w:cs="宋体"/>
        </w:rPr>
      </w:r>
      <w:r/>
    </w:p>
    <w:p>
      <w:pPr>
        <w:pStyle w:val="1011"/>
        <w:ind w:firstLine="422"/>
        <w:spacing w:line="360" w:lineRule="auto"/>
        <w:rPr>
          <w:rFonts w:ascii="宋体" w:hAnsi="宋体" w:cs="宋体"/>
        </w:rPr>
      </w:pPr>
      <w:r>
        <w:rPr>
          <w:rFonts w:hint="eastAsia" w:ascii="宋体" w:hAnsi="宋体" w:cs="宋体"/>
        </w:rPr>
        <w:t xml:space="preserve">（2）将下载的采购文件导入投标文件客户端，按照《操作手册》完成投标文件的编制和加盖电子签章。</w:t>
      </w:r>
      <w:r>
        <w:rPr>
          <w:rFonts w:ascii="宋体" w:hAnsi="宋体" w:cs="宋体"/>
        </w:rPr>
      </w:r>
      <w:r/>
    </w:p>
    <w:p>
      <w:pPr>
        <w:pStyle w:val="1011"/>
        <w:ind w:firstLine="422"/>
        <w:spacing w:line="360" w:lineRule="auto"/>
        <w:rPr>
          <w:rFonts w:ascii="宋体" w:hAnsi="宋体" w:cs="宋体"/>
        </w:rPr>
      </w:pPr>
      <w:r>
        <w:rPr>
          <w:rFonts w:hint="eastAsia" w:ascii="宋体" w:hAnsi="宋体" w:cs="宋体"/>
        </w:rPr>
        <w:t xml:space="preserve">（3）导出制作完成的投标文件，上传至苏采云系统。</w:t>
      </w:r>
      <w:r>
        <w:rPr>
          <w:rFonts w:ascii="宋体" w:hAnsi="宋体" w:cs="宋体"/>
        </w:rPr>
      </w:r>
      <w:r/>
    </w:p>
    <w:p>
      <w:pPr>
        <w:pStyle w:val="1011"/>
        <w:ind w:firstLine="422"/>
        <w:spacing w:line="360" w:lineRule="auto"/>
        <w:rPr>
          <w:rFonts w:ascii="宋体" w:hAnsi="宋体" w:cs="宋体"/>
          <w:u w:val="single"/>
        </w:rPr>
      </w:pPr>
      <w:r>
        <w:rPr>
          <w:rFonts w:hint="eastAsia" w:ascii="宋体" w:hAnsi="宋体" w:cs="宋体"/>
          <w:u w:val="single"/>
        </w:rPr>
        <w:t xml:space="preserve">注：具体投标文件编制教程查看苏采云系统中的客户端使用说明和供应商《操作手册》。</w:t>
      </w:r>
      <w:r>
        <w:rPr>
          <w:rFonts w:hint="eastAsia" w:ascii="宋体" w:hAnsi="宋体" w:cs="宋体"/>
        </w:rPr>
        <w:object w:dxaOrig="1544" w:dyaOrig="112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7.2pt;height:56.2pt;mso-wrap-distance-left:0.0pt;mso-wrap-distance-top:0.0pt;mso-wrap-distance-right:0.0pt;mso-wrap-distance-bottom:0.0pt;" filled="f" stroked="f">
            <v:path textboxrect="0,0,0,0"/>
            <v:imagedata r:id="rId38" o:title=""/>
          </v:shape>
          <o:OLEObject DrawAspect="Content" r:id="rId39" ObjectID="_1525040" ProgID="Package" ShapeID="_x0000_i0" Type="Embed"/>
        </w:object>
      </w:r>
      <w:bookmarkEnd w:id="49"/>
      <w:r/>
      <w:bookmarkEnd w:id="50"/>
      <w:r>
        <w:rPr>
          <w:rFonts w:ascii="宋体" w:hAnsi="宋体" w:cs="宋体"/>
          <w:u w:val="single"/>
        </w:rPr>
      </w:r>
      <w:r/>
    </w:p>
    <w:p>
      <w:pPr>
        <w:pStyle w:val="1011"/>
        <w:ind w:firstLine="422"/>
        <w:spacing w:line="360" w:lineRule="auto"/>
        <w:rPr>
          <w:rFonts w:ascii="宋体" w:hAnsi="宋体" w:cs="宋体"/>
        </w:rPr>
      </w:pPr>
      <w:r/>
      <w:bookmarkStart w:id="51" w:name="OLE_LINK149"/>
      <w:r/>
      <w:bookmarkStart w:id="52" w:name="OLE_LINK148"/>
      <w:r>
        <w:rPr>
          <w:rFonts w:hint="eastAsia" w:ascii="宋体" w:hAnsi="宋体" w:cs="宋体"/>
        </w:rPr>
        <w:t xml:space="preserve">15.3电子投标文件中的资料应按采购文件的要求加盖投标人的电子签章或公章。</w:t>
      </w:r>
      <w:bookmarkEnd w:id="51"/>
      <w:r/>
      <w:bookmarkEnd w:id="52"/>
      <w:r/>
      <w:bookmarkStart w:id="53" w:name="OLE_LINK150"/>
      <w:r>
        <w:rPr>
          <w:rFonts w:ascii="宋体" w:hAnsi="宋体" w:cs="宋体"/>
        </w:rPr>
      </w:r>
      <w:r/>
    </w:p>
    <w:p>
      <w:pPr>
        <w:pStyle w:val="1011"/>
        <w:ind w:firstLine="422"/>
        <w:spacing w:line="360" w:lineRule="auto"/>
        <w:rPr>
          <w:rFonts w:ascii="宋体" w:hAnsi="宋体" w:cs="宋体"/>
        </w:rPr>
      </w:pPr>
      <w:r>
        <w:rPr>
          <w:rFonts w:hint="eastAsia" w:ascii="宋体" w:hAnsi="宋体" w:cs="宋体"/>
        </w:rPr>
        <w:t xml:space="preserve">15.4未按照要求编制电子投标文件，未按照要求在电子投标文件上加盖电子签章的，均视为无效投标。</w:t>
      </w:r>
      <w:bookmarkEnd w:id="53"/>
      <w:r>
        <w:rPr>
          <w:rFonts w:ascii="宋体" w:hAnsi="宋体" w:cs="宋体"/>
        </w:rPr>
      </w:r>
      <w:r/>
    </w:p>
    <w:p>
      <w:pPr>
        <w:pStyle w:val="1011"/>
        <w:ind w:firstLine="422"/>
        <w:spacing w:line="360" w:lineRule="auto"/>
        <w:rPr>
          <w:b/>
        </w:rPr>
      </w:pPr>
      <w:r>
        <w:rPr>
          <w:b/>
        </w:rPr>
      </w:r>
      <w:r/>
    </w:p>
    <w:p>
      <w:pPr>
        <w:pStyle w:val="1011"/>
        <w:ind w:firstLine="422"/>
        <w:spacing w:line="360" w:lineRule="auto"/>
        <w:rPr>
          <w:b/>
        </w:rPr>
      </w:pPr>
      <w:r>
        <w:rPr>
          <w:b/>
          <w:lang w:val="zh-CN"/>
        </w:rPr>
        <w:t xml:space="preserve">16.投标报价（编制）要求的说明</w:t>
      </w:r>
      <w:r>
        <w:rPr>
          <w:b/>
        </w:rPr>
      </w:r>
      <w:r/>
    </w:p>
    <w:p>
      <w:pPr>
        <w:pStyle w:val="1011"/>
        <w:ind w:firstLine="420"/>
        <w:spacing w:line="360" w:lineRule="auto"/>
      </w:pPr>
      <w:r>
        <w:t xml:space="preserve">16.1除非合同中另有规定，投标人对《开标一览表》中的报价</w:t>
      </w:r>
      <w:r>
        <w:rPr>
          <w:lang w:val="zh-CN"/>
        </w:rPr>
        <w:t xml:space="preserve">应综合考量</w:t>
      </w:r>
      <w:r>
        <w:t xml:space="preserve">完成本次服务项目所需的服务成本、经营成本、法定税费和管理企业的利润、保险及合同包含的所有风险、责任等各项应有费用。</w:t>
      </w:r>
      <w:r>
        <w:rPr>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t xml:space="preserve">。</w:t>
      </w:r>
      <w:r/>
    </w:p>
    <w:p>
      <w:pPr>
        <w:pStyle w:val="1011"/>
        <w:ind w:firstLine="422"/>
        <w:spacing w:line="360" w:lineRule="auto"/>
        <w:rPr>
          <w:rFonts w:ascii="宋体" w:hAnsi="宋体" w:cs="宋体"/>
        </w:rPr>
      </w:pPr>
      <w:r>
        <w:rPr>
          <w:lang w:val="zh-CN"/>
        </w:rPr>
        <w:t xml:space="preserve">16.2</w:t>
      </w:r>
      <w:bookmarkStart w:id="54" w:name="OLE_LINK155"/>
      <w:r>
        <w:rPr>
          <w:rFonts w:hint="eastAsia" w:ascii="宋体" w:hAnsi="宋体" w:cs="宋体"/>
        </w:rPr>
        <w:t xml:space="preserve">投标人应按《投标报价表》中的全部货物和服务计算单价和总价。《投标报价表》中的每一单项均应计算并填写单价和总价，并由法定代表人或代理人签章。</w:t>
      </w:r>
      <w:bookmarkEnd w:id="54"/>
      <w:r>
        <w:rPr>
          <w:rFonts w:ascii="宋体" w:hAnsi="宋体" w:cs="宋体"/>
        </w:rPr>
      </w:r>
      <w:r/>
    </w:p>
    <w:p>
      <w:pPr>
        <w:pStyle w:val="1011"/>
        <w:ind w:firstLine="420"/>
        <w:spacing w:line="360" w:lineRule="auto"/>
        <w:rPr>
          <w:lang w:val="zh-CN"/>
        </w:rPr>
      </w:pPr>
      <w:r>
        <w:rPr>
          <w:lang w:val="zh-CN"/>
        </w:rPr>
        <w:t xml:space="preserve">16.3</w:t>
      </w:r>
      <w:r>
        <w:rPr>
          <w:rFonts w:hint="eastAsia" w:ascii="宋体" w:hAnsi="宋体" w:cs="宋体"/>
        </w:rPr>
        <w:t xml:space="preserve">投标人应对采购文件内所要采购的全部内容进行报价，只投其中部分内容者，其标书将被拒绝。但如果采购文件要求分标段投标的，则投标人可以有选择地只投其中一个或几个标段，也可以投全部标段，但各标段应分别计算填写单价和总价。</w:t>
      </w:r>
      <w:r>
        <w:rPr>
          <w:lang w:val="zh-CN"/>
        </w:rPr>
      </w:r>
      <w:r/>
    </w:p>
    <w:p>
      <w:pPr>
        <w:pStyle w:val="1011"/>
        <w:ind w:firstLine="420"/>
        <w:spacing w:line="360" w:lineRule="auto"/>
        <w:rPr>
          <w:lang w:val="zh-CN"/>
        </w:rPr>
      </w:pPr>
      <w:r>
        <w:rPr>
          <w:lang w:val="zh-CN"/>
        </w:rPr>
        <w:t xml:space="preserve">16.4</w:t>
      </w:r>
      <w:r>
        <w:rPr>
          <w:rFonts w:hint="eastAsia" w:ascii="宋体" w:hAnsi="宋体" w:cs="宋体"/>
        </w:rPr>
        <w:t xml:space="preserve">一项投标内容只允许一个报价，采购代理机构不接受任何有选择性的投标报价。</w:t>
      </w:r>
      <w:r>
        <w:rPr>
          <w:lang w:val="zh-CN"/>
        </w:rPr>
      </w:r>
      <w:r/>
    </w:p>
    <w:p>
      <w:pPr>
        <w:pStyle w:val="1011"/>
        <w:ind w:firstLine="422"/>
        <w:spacing w:line="360" w:lineRule="auto"/>
        <w:rPr>
          <w:rFonts w:ascii="宋体" w:hAnsi="宋体" w:cs="宋体"/>
        </w:rPr>
      </w:pPr>
      <w:r>
        <w:rPr>
          <w:lang w:val="zh-CN"/>
        </w:rPr>
        <w:t xml:space="preserve">16.5</w:t>
      </w:r>
      <w:r>
        <w:rPr>
          <w:rFonts w:hint="eastAsia" w:ascii="宋体" w:hAnsi="宋体" w:cs="宋体"/>
        </w:rPr>
        <w:t xml:space="preserve">投标文件报价中的单价和总价全部采用人民币表示，除非合同的特殊条款另有规定。</w:t>
      </w:r>
      <w:r>
        <w:rPr>
          <w:rFonts w:ascii="宋体" w:hAnsi="宋体" w:cs="宋体"/>
        </w:rPr>
      </w:r>
      <w:r/>
    </w:p>
    <w:p>
      <w:pPr>
        <w:pStyle w:val="1011"/>
        <w:ind w:firstLine="420"/>
        <w:spacing w:line="360" w:lineRule="auto"/>
        <w:rPr>
          <w:lang w:val="zh-CN"/>
        </w:rPr>
      </w:pPr>
      <w:r>
        <w:rPr>
          <w:lang w:val="zh-CN"/>
        </w:rPr>
        <w:t xml:space="preserve">16.6最低的报价或最高的折扣率不能作为中标的保证。</w:t>
      </w:r>
      <w:r/>
    </w:p>
    <w:p>
      <w:pPr>
        <w:pStyle w:val="1011"/>
        <w:ind w:firstLine="422"/>
        <w:spacing w:line="360" w:lineRule="auto"/>
        <w:rPr>
          <w:b/>
        </w:rPr>
      </w:pPr>
      <w:r>
        <w:rPr>
          <w:b/>
          <w:lang w:val="zh-CN"/>
        </w:rPr>
        <w:t xml:space="preserve">17.投标保证金：</w:t>
      </w:r>
      <w:r>
        <w:rPr>
          <w:b/>
        </w:rPr>
        <w:t xml:space="preserve">本项目不收取投标保证金。</w:t>
      </w:r>
      <w:r/>
    </w:p>
    <w:p>
      <w:pPr>
        <w:pStyle w:val="1011"/>
        <w:ind w:firstLine="422"/>
        <w:spacing w:line="360" w:lineRule="auto"/>
        <w:rPr>
          <w:b/>
          <w:lang w:val="zh-CN"/>
        </w:rPr>
      </w:pPr>
      <w:r>
        <w:rPr>
          <w:b/>
          <w:lang w:val="zh-CN"/>
        </w:rPr>
        <w:t xml:space="preserve">18.投标文件的有效期</w:t>
      </w:r>
      <w:r/>
    </w:p>
    <w:p>
      <w:pPr>
        <w:pStyle w:val="1011"/>
        <w:ind w:firstLine="420"/>
        <w:spacing w:line="360" w:lineRule="auto"/>
        <w:rPr>
          <w:lang w:val="zh-CN"/>
        </w:rPr>
      </w:pPr>
      <w:r>
        <w:rPr>
          <w:lang w:val="zh-CN"/>
        </w:rPr>
        <w:t xml:space="preserve">18.1自提交投标文件截止之日起90天内，投标文件中承诺的投标有效期应当不少于招标文件中载明的投标有效期。</w:t>
      </w:r>
      <w:r/>
    </w:p>
    <w:p>
      <w:pPr>
        <w:pStyle w:val="1011"/>
        <w:ind w:firstLine="420"/>
        <w:spacing w:line="360" w:lineRule="auto"/>
        <w:rPr>
          <w:lang w:val="zh-CN"/>
        </w:rPr>
      </w:pPr>
      <w:r>
        <w:rPr>
          <w:lang w:val="zh-CN"/>
        </w:rPr>
        <w:t xml:space="preserve">18.2在特殊情况下，采购人、采购代理机构可与投标人协商延长投标书的有效期。这种要求和答复都应以书面形式进行。同意延长有效期的投标人不能修改投标文件。</w:t>
      </w:r>
      <w:r/>
    </w:p>
    <w:p>
      <w:pPr>
        <w:pStyle w:val="1011"/>
        <w:ind w:firstLine="422"/>
        <w:spacing w:line="360" w:lineRule="auto"/>
        <w:rPr>
          <w:b/>
          <w:lang w:val="zh-CN"/>
        </w:rPr>
      </w:pPr>
      <w:r>
        <w:rPr>
          <w:b/>
          <w:lang w:val="zh-CN"/>
        </w:rPr>
        <w:t xml:space="preserve">19.投标文件的制作、签署、上传</w:t>
      </w:r>
      <w:r/>
    </w:p>
    <w:p>
      <w:pPr>
        <w:pStyle w:val="1011"/>
        <w:ind w:firstLine="428"/>
        <w:spacing w:line="360" w:lineRule="auto"/>
        <w:rPr>
          <w:lang w:val="zh-CN"/>
        </w:rPr>
      </w:pPr>
      <w:r>
        <w:rPr>
          <w:lang w:val="zh-CN"/>
        </w:rPr>
        <w:t xml:space="preserve">19.1本项目采用电子招投标形式，请供应商按照《苏采云系统供应商操作手册》进行制作、上传电子投标文件。</w:t>
      </w:r>
      <w:r/>
    </w:p>
    <w:p>
      <w:pPr>
        <w:pStyle w:val="1011"/>
        <w:ind w:firstLine="420"/>
        <w:spacing w:line="360" w:lineRule="auto"/>
        <w:rPr>
          <w:lang w:val="zh-CN"/>
        </w:rPr>
      </w:pPr>
      <w:r>
        <w:rPr>
          <w:lang w:val="zh-CN"/>
        </w:rPr>
        <w:t xml:space="preserve">19.2制作电子投标文件时，应按照招标文件要求加盖投标人电子公章。</w:t>
      </w:r>
      <w:r/>
    </w:p>
    <w:p>
      <w:pPr>
        <w:pStyle w:val="1011"/>
        <w:ind w:firstLine="420"/>
        <w:spacing w:line="360" w:lineRule="auto"/>
        <w:rPr>
          <w:lang w:val="zh-CN"/>
        </w:rPr>
      </w:pPr>
      <w:r>
        <w:rPr>
          <w:lang w:val="zh-CN"/>
        </w:rPr>
        <w:t xml:space="preserve">19.3</w:t>
      </w:r>
      <w:r>
        <w:rPr>
          <w:b/>
          <w:lang w:val="zh-CN"/>
        </w:rPr>
        <w:t xml:space="preserve">电子投标文件制作完成后请于投标文件网上提交截止时间前成功上传至“苏采云”系统，否则视为放弃参加该采购项目。</w:t>
      </w:r>
      <w:bookmarkStart w:id="55" w:name="_Toc25608"/>
      <w:r/>
      <w:bookmarkStart w:id="56" w:name="_Toc31150"/>
      <w:r>
        <w:rPr>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55"/>
      <w:r/>
      <w:bookmarkEnd w:id="56"/>
      <w:r>
        <w:rPr>
          <w:lang w:val="zh-CN"/>
        </w:rPr>
      </w:r>
      <w:r/>
    </w:p>
    <w:p>
      <w:pPr>
        <w:pStyle w:val="1011"/>
        <w:ind w:firstLine="422"/>
        <w:spacing w:line="360" w:lineRule="auto"/>
        <w:rPr>
          <w:b/>
          <w:lang w:val="zh-CN"/>
        </w:rPr>
      </w:pPr>
      <w:r>
        <w:rPr>
          <w:b/>
          <w:lang w:val="zh-CN"/>
        </w:rPr>
        <w:t xml:space="preserve">五、投标文件的递交、补充、修改和撤回</w:t>
      </w:r>
      <w:r/>
    </w:p>
    <w:p>
      <w:pPr>
        <w:pStyle w:val="1011"/>
        <w:ind w:firstLine="422"/>
        <w:spacing w:line="360" w:lineRule="auto"/>
        <w:rPr>
          <w:b/>
          <w:lang w:val="zh-CN"/>
        </w:rPr>
      </w:pPr>
      <w:r>
        <w:rPr>
          <w:b/>
          <w:lang w:val="zh-CN"/>
        </w:rPr>
        <w:t xml:space="preserve">20.投标文件的递交</w:t>
      </w:r>
      <w:r/>
    </w:p>
    <w:p>
      <w:pPr>
        <w:pStyle w:val="1011"/>
        <w:ind w:firstLine="420"/>
        <w:spacing w:line="360" w:lineRule="auto"/>
        <w:rPr>
          <w:lang w:val="zh-CN"/>
        </w:rPr>
      </w:pPr>
      <w:r>
        <w:rPr>
          <w:lang w:val="zh-CN"/>
        </w:rPr>
        <w:t xml:space="preserve">20.1投标人应当在在投标截止时间前制作并上传电子投标文件。</w:t>
      </w:r>
      <w:r/>
    </w:p>
    <w:p>
      <w:pPr>
        <w:pStyle w:val="1011"/>
        <w:ind w:firstLine="420"/>
        <w:spacing w:line="360" w:lineRule="auto"/>
        <w:rPr>
          <w:b/>
        </w:rPr>
      </w:pPr>
      <w:r>
        <w:t xml:space="preserve">20.2投标人通过</w:t>
      </w:r>
      <w:r>
        <w:rPr>
          <w:b/>
        </w:rPr>
        <w:t xml:space="preserve">“苏采云”系统不见面开标大厅在线参与开标活动。（具体操作详见</w:t>
      </w:r>
      <w:r>
        <w:rPr>
          <w:rFonts w:eastAsia="等线"/>
          <w:b/>
        </w:rPr>
        <w:t xml:space="preserve">《苏采云系统供应商操作手册》，</w:t>
      </w:r>
      <w:r>
        <w:rPr>
          <w:b/>
        </w:rPr>
        <w:t xml:space="preserve">网址链接</w:t>
      </w:r>
      <w:bookmarkStart w:id="57" w:name="OLE_LINK3"/>
      <w:r/>
      <w:bookmarkStart w:id="58" w:name="OLE_LINK164"/>
      <w:r>
        <w:rPr>
          <w:b/>
        </w:rPr>
        <w:t xml:space="preserve">https://czju.suzhou.gov.cn/zfcg/html/content/20231220161910031.shtml</w:t>
      </w:r>
      <w:bookmarkEnd w:id="57"/>
      <w:r/>
      <w:bookmarkEnd w:id="58"/>
      <w:r>
        <w:rPr>
          <w:b/>
        </w:rPr>
        <w:t xml:space="preserve">）</w:t>
      </w:r>
      <w:r/>
    </w:p>
    <w:p>
      <w:pPr>
        <w:pStyle w:val="1011"/>
        <w:ind w:firstLine="422"/>
        <w:spacing w:line="360" w:lineRule="auto"/>
        <w:rPr>
          <w:b/>
          <w:lang w:val="zh-CN"/>
        </w:rPr>
      </w:pPr>
      <w:r>
        <w:rPr>
          <w:b/>
          <w:lang w:val="zh-CN"/>
        </w:rPr>
        <w:t xml:space="preserve">21.投标截止时间</w:t>
      </w:r>
      <w:r/>
    </w:p>
    <w:p>
      <w:pPr>
        <w:pStyle w:val="1011"/>
        <w:ind w:firstLine="420"/>
        <w:spacing w:line="360" w:lineRule="auto"/>
        <w:rPr>
          <w:lang w:val="zh-CN"/>
        </w:rPr>
      </w:pPr>
      <w:r>
        <w:rPr>
          <w:lang w:val="zh-CN"/>
        </w:rPr>
        <w:t xml:space="preserve">21.1投标人应当在招标文件要求投标文件网上提交截止时间前，将投标文件完成提交（上传）。逾期提交（上传）的投标文件，采购人和采购代理机构拒绝接收。</w:t>
      </w:r>
      <w:r/>
    </w:p>
    <w:p>
      <w:pPr>
        <w:pStyle w:val="1011"/>
        <w:ind w:firstLine="420"/>
        <w:spacing w:line="360" w:lineRule="auto"/>
        <w:rPr>
          <w:lang w:val="zh-CN"/>
        </w:rPr>
      </w:pPr>
      <w:r>
        <w:rPr>
          <w:lang w:val="zh-CN"/>
        </w:rPr>
        <w:t xml:space="preserve">21.2采购人和采购代理机构推迟投标截止时间时，将按本须知规定的更正公告的方式对外发布。在这种情况下，采购人、采购代理机构和投标人的权利和义务将受到新的截止期的约束。</w:t>
      </w:r>
      <w:r/>
    </w:p>
    <w:p>
      <w:pPr>
        <w:pStyle w:val="1011"/>
        <w:ind w:firstLine="420"/>
        <w:spacing w:line="360" w:lineRule="auto"/>
        <w:rPr>
          <w:lang w:val="zh-CN"/>
        </w:rPr>
      </w:pPr>
      <w:r>
        <w:rPr>
          <w:lang w:val="zh-CN"/>
        </w:rPr>
        <w:t xml:space="preserve">21.3在投标截止时间止成功解密的投标文件少于三份，采购代理机构有权宣布本次招标失败。</w:t>
      </w:r>
      <w:r/>
    </w:p>
    <w:p>
      <w:pPr>
        <w:pStyle w:val="1011"/>
        <w:ind w:firstLine="422"/>
        <w:spacing w:line="360" w:lineRule="auto"/>
        <w:rPr>
          <w:b/>
          <w:lang w:val="zh-CN"/>
        </w:rPr>
      </w:pPr>
      <w:r>
        <w:rPr>
          <w:b/>
          <w:lang w:val="zh-CN"/>
        </w:rPr>
        <w:t xml:space="preserve">22.投标文件的补充、修改和撤回</w:t>
      </w:r>
      <w:r/>
    </w:p>
    <w:p>
      <w:pPr>
        <w:pStyle w:val="1011"/>
        <w:ind w:firstLine="420"/>
        <w:spacing w:line="360" w:lineRule="auto"/>
        <w:rPr>
          <w:lang w:val="zh-CN"/>
        </w:rPr>
      </w:pPr>
      <w:r>
        <w:rPr>
          <w:lang w:val="zh-CN"/>
        </w:rPr>
        <w:t xml:space="preserve">22.1投标人在投标文件网上提交截止时间前，可以对其电子投标文件进行补充、修改，具体操作方法见</w:t>
      </w:r>
      <w:r>
        <w:rPr>
          <w:rFonts w:eastAsia="等线"/>
          <w:lang w:val="zh-CN"/>
        </w:rPr>
        <w:t xml:space="preserve">《苏采云系统供应商操作手册》</w:t>
      </w:r>
      <w:r>
        <w:rPr>
          <w:lang w:val="zh-CN"/>
        </w:rPr>
        <w:t xml:space="preserve">。在投标文件网上提交截止时间之后，投标人不得对其电子投标文件作任何修改。</w:t>
      </w:r>
      <w:r/>
    </w:p>
    <w:p>
      <w:pPr>
        <w:pStyle w:val="1011"/>
        <w:ind w:firstLine="420"/>
        <w:spacing w:line="360" w:lineRule="auto"/>
        <w:rPr>
          <w:lang w:val="zh-CN"/>
        </w:rPr>
      </w:pPr>
      <w:r>
        <w:rPr>
          <w:lang w:val="zh-CN"/>
        </w:rPr>
        <w:t xml:space="preserve">22.2投标人在投标文件网上提交截止时间前，可以撤回其电子投标文件，具体操作方法见</w:t>
      </w:r>
      <w:r>
        <w:rPr>
          <w:rFonts w:eastAsia="等线"/>
          <w:lang w:val="zh-CN"/>
        </w:rPr>
        <w:t xml:space="preserve">《苏采云系统供应商操作手册》</w:t>
      </w:r>
      <w:r>
        <w:rPr>
          <w:lang w:val="zh-CN"/>
        </w:rPr>
        <w:t xml:space="preserve">。投标人撤回电子投标文件，则认为其不再参与本项目投标活动。在投标截止时间至招标文件中规定的投标有效期满之间的这段时间内，投标人不得撤回其投标。</w:t>
      </w:r>
      <w:r/>
    </w:p>
    <w:p>
      <w:pPr>
        <w:pStyle w:val="1011"/>
        <w:ind w:firstLine="420"/>
        <w:spacing w:line="360" w:lineRule="auto"/>
        <w:rPr>
          <w:lang w:val="zh-CN"/>
        </w:rPr>
      </w:pPr>
      <w:r>
        <w:rPr>
          <w:lang w:val="zh-CN"/>
        </w:rPr>
        <w:t xml:space="preserve">六、开标和评标</w:t>
      </w:r>
      <w:r/>
    </w:p>
    <w:p>
      <w:pPr>
        <w:pStyle w:val="1011"/>
        <w:ind w:firstLine="420"/>
        <w:spacing w:line="360" w:lineRule="auto"/>
        <w:rPr>
          <w:lang w:val="zh-CN"/>
        </w:rPr>
      </w:pPr>
      <w:r>
        <w:rPr>
          <w:lang w:val="zh-CN"/>
        </w:rPr>
        <w:t xml:space="preserve">23.开标</w:t>
      </w:r>
      <w:r/>
    </w:p>
    <w:p>
      <w:pPr>
        <w:pStyle w:val="1011"/>
        <w:ind w:firstLine="420"/>
        <w:spacing w:line="360" w:lineRule="auto"/>
        <w:rPr>
          <w:lang w:val="zh-CN"/>
        </w:rPr>
      </w:pPr>
      <w:r>
        <w:rPr>
          <w:lang w:val="zh-CN"/>
        </w:rPr>
        <w:t xml:space="preserve">23.1开标由采购代理机构</w:t>
      </w:r>
      <w:r>
        <w:t xml:space="preserve">在线</w:t>
      </w:r>
      <w:r>
        <w:rPr>
          <w:lang w:val="zh-CN"/>
        </w:rPr>
        <w:t xml:space="preserve">主持，邀请投标人</w:t>
      </w:r>
      <w:r>
        <w:t xml:space="preserve">在线</w:t>
      </w:r>
      <w:r>
        <w:rPr>
          <w:lang w:val="zh-CN"/>
        </w:rPr>
        <w:t xml:space="preserve">参加。投标人应当按照</w:t>
      </w:r>
      <w:r>
        <w:rPr>
          <w:rFonts w:eastAsia="等线"/>
          <w:lang w:val="zh-CN"/>
        </w:rPr>
        <w:t xml:space="preserve">《苏采云系统供应商操作手册》</w:t>
      </w:r>
      <w:r>
        <w:rPr>
          <w:lang w:val="zh-CN"/>
        </w:rPr>
        <w:t xml:space="preserve">规定，</w:t>
      </w:r>
      <w:r>
        <w:rPr>
          <w:b/>
          <w:lang w:val="zh-CN"/>
        </w:rPr>
        <w:t xml:space="preserve">参加开标活动和在“苏采云”系统规定的时间内对投标文件进行解密</w:t>
      </w:r>
      <w:r>
        <w:rPr>
          <w:lang w:val="zh-CN"/>
        </w:rPr>
        <w:t xml:space="preserve">。评标委员会成员不得参加开标活动。</w:t>
      </w:r>
      <w:r/>
    </w:p>
    <w:p>
      <w:pPr>
        <w:pStyle w:val="1011"/>
        <w:ind w:firstLine="420"/>
        <w:spacing w:line="360" w:lineRule="auto"/>
        <w:rPr>
          <w:lang w:val="zh-CN"/>
        </w:rPr>
      </w:pPr>
      <w:r>
        <w:rPr>
          <w:lang w:val="zh-CN"/>
        </w:rPr>
        <w:t xml:space="preserve">23.2开标时，由采购代理机构</w:t>
      </w:r>
      <w:r>
        <w:t xml:space="preserve">通过“苏采云”系统在线</w:t>
      </w:r>
      <w:r>
        <w:rPr>
          <w:lang w:val="zh-CN"/>
        </w:rPr>
        <w:t xml:space="preserve">宣布投标人名称、投标价格和招标文件规定的需要宣布的其他内容。</w:t>
      </w:r>
      <w:r>
        <w:t xml:space="preserve">投标人在不见面开标系统中确认投标价格，如</w:t>
      </w:r>
      <w:r>
        <w:rPr>
          <w:lang w:val="zh-CN"/>
        </w:rPr>
        <w:t xml:space="preserve">投标人未</w:t>
      </w:r>
      <w:r>
        <w:t xml:space="preserve">在线</w:t>
      </w:r>
      <w:r>
        <w:rPr>
          <w:lang w:val="zh-CN"/>
        </w:rPr>
        <w:t xml:space="preserve">参加开标</w:t>
      </w:r>
      <w:r>
        <w:t xml:space="preserve">或未在规定时间内确认价格</w:t>
      </w:r>
      <w:r>
        <w:rPr>
          <w:lang w:val="zh-CN"/>
        </w:rPr>
        <w:t xml:space="preserve">的，视同认可开标结果。</w:t>
      </w:r>
      <w:r/>
    </w:p>
    <w:p>
      <w:pPr>
        <w:pStyle w:val="1011"/>
        <w:ind w:firstLine="420"/>
        <w:spacing w:line="360" w:lineRule="auto"/>
        <w:rPr>
          <w:lang w:val="zh-CN"/>
        </w:rPr>
      </w:pPr>
      <w:r>
        <w:rPr>
          <w:lang w:val="zh-CN"/>
        </w:rPr>
        <w:t xml:space="preserve">23.3资格审查</w:t>
      </w:r>
      <w:r/>
    </w:p>
    <w:p>
      <w:pPr>
        <w:pStyle w:val="1011"/>
        <w:ind w:firstLine="420"/>
        <w:spacing w:line="360" w:lineRule="auto"/>
        <w:rPr>
          <w:lang w:val="zh-CN"/>
        </w:rPr>
      </w:pPr>
      <w:r>
        <w:rPr>
          <w:lang w:val="zh-CN"/>
        </w:rPr>
        <w:t xml:space="preserve">23.3.1公开招标采购项目开标结束后，采购人应当依法对投标人的资格进行审查，未通过资格审查的视为无效投标。</w:t>
      </w:r>
      <w:r/>
    </w:p>
    <w:p>
      <w:pPr>
        <w:pStyle w:val="1011"/>
        <w:ind w:firstLine="420"/>
        <w:spacing w:line="360" w:lineRule="auto"/>
        <w:rPr>
          <w:lang w:val="zh-CN"/>
        </w:rPr>
      </w:pPr>
      <w:r>
        <w:rPr>
          <w:lang w:val="zh-CN"/>
        </w:rPr>
        <w:t xml:space="preserve">23.3.2根据政府采购法及相关法规，以及苏州市财政局</w:t>
      </w:r>
      <w:bookmarkStart w:id="59" w:name="OLE_LINK130"/>
      <w:r/>
      <w:bookmarkStart w:id="60" w:name="OLE_LINK129"/>
      <w:r>
        <w:rPr>
          <w:lang w:val="zh-CN"/>
        </w:rPr>
        <w:t xml:space="preserve">《</w:t>
      </w:r>
      <w:bookmarkStart w:id="61" w:name="OLE_LINK128"/>
      <w:r/>
      <w:bookmarkStart w:id="62" w:name="OLE_LINK127"/>
      <w:r>
        <w:rPr>
          <w:lang w:val="zh-CN"/>
        </w:rPr>
        <w:t xml:space="preserve">关于印发苏州市市级政府采购信用记录查询和使用工作试行办法的通知</w:t>
      </w:r>
      <w:bookmarkEnd w:id="61"/>
      <w:r/>
      <w:bookmarkEnd w:id="62"/>
      <w:r>
        <w:rPr>
          <w:lang w:val="zh-CN"/>
        </w:rPr>
        <w:t xml:space="preserve">》（</w:t>
      </w:r>
      <w:bookmarkStart w:id="63" w:name="OLE_LINK165"/>
      <w:r>
        <w:rPr>
          <w:lang w:val="zh-CN"/>
        </w:rPr>
        <w:t xml:space="preserve">苏财购（2017）11号</w:t>
      </w:r>
      <w:bookmarkEnd w:id="63"/>
      <w:r>
        <w:rPr>
          <w:lang w:val="zh-CN"/>
        </w:rPr>
        <w:t xml:space="preserve">）</w:t>
      </w:r>
      <w:bookmarkEnd w:id="59"/>
      <w:r/>
      <w:bookmarkEnd w:id="60"/>
      <w:r>
        <w:rPr>
          <w:lang w:val="zh-CN"/>
        </w:rPr>
        <w:t xml:space="preserve">文件的规定，采购代理机构将对供应商进行信用查询：</w:t>
      </w:r>
      <w:r/>
    </w:p>
    <w:p>
      <w:pPr>
        <w:pStyle w:val="1011"/>
        <w:ind w:firstLine="420"/>
        <w:spacing w:line="360" w:lineRule="auto"/>
        <w:rPr>
          <w:lang w:val="zh-CN"/>
        </w:rPr>
      </w:pPr>
      <w:r>
        <w:rPr>
          <w:lang w:val="zh-CN"/>
        </w:rPr>
        <w:t xml:space="preserve">23.3.2.1查询时间：投标文件递交截止时间。</w:t>
      </w:r>
      <w:r/>
    </w:p>
    <w:p>
      <w:pPr>
        <w:pStyle w:val="1011"/>
        <w:ind w:firstLine="420"/>
        <w:spacing w:line="360" w:lineRule="auto"/>
        <w:rPr>
          <w:b/>
          <w:lang w:val="zh-CN"/>
        </w:rPr>
      </w:pPr>
      <w:r>
        <w:rPr>
          <w:lang w:val="zh-CN"/>
        </w:rPr>
        <w:t xml:space="preserve">23.3.2.2查询渠道</w:t>
      </w:r>
      <w:r>
        <w:rPr>
          <w:b/>
          <w:lang w:val="zh-CN"/>
        </w:rPr>
        <w:t xml:space="preserve">：</w:t>
      </w:r>
      <w:r>
        <w:rPr>
          <w:lang w:val="zh-CN"/>
        </w:rPr>
        <w:t xml:space="preserve">采购代理机构会在接收投标文件截止时间后，登录信用中国网站（</w:t>
      </w:r>
      <w:bookmarkStart w:id="64" w:name="OLE_LINK131"/>
      <w:r>
        <w:rPr>
          <w:lang w:val="zh-CN"/>
        </w:rPr>
        <w:t xml:space="preserve">www.creditchina.gov.cn</w:t>
      </w:r>
      <w:bookmarkEnd w:id="64"/>
      <w:r>
        <w:rPr>
          <w:lang w:val="zh-CN"/>
        </w:rPr>
        <w:t xml:space="preserve">）和中国政府采购网（</w:t>
      </w:r>
      <w:bookmarkStart w:id="65" w:name="OLE_LINK132"/>
      <w:r>
        <w:rPr>
          <w:lang w:val="zh-CN"/>
        </w:rPr>
        <w:t xml:space="preserve">www.ccgp.gov.cn/</w:t>
      </w:r>
      <w:bookmarkEnd w:id="65"/>
      <w:r>
        <w:rPr>
          <w:lang w:val="zh-CN"/>
        </w:rPr>
        <w:t xml:space="preserve">）查询供应商的信用记录，并将查询结果递交评标委员会。</w:t>
      </w:r>
      <w:r>
        <w:rPr>
          <w:b/>
          <w:lang w:val="zh-CN"/>
        </w:rPr>
      </w:r>
      <w:r/>
    </w:p>
    <w:p>
      <w:pPr>
        <w:pStyle w:val="1011"/>
        <w:ind w:firstLine="420"/>
        <w:spacing w:line="360" w:lineRule="auto"/>
        <w:rPr>
          <w:lang w:val="zh-CN"/>
        </w:rPr>
      </w:pPr>
      <w:r>
        <w:rPr>
          <w:lang w:val="zh-CN"/>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011"/>
        <w:ind w:firstLine="422"/>
        <w:spacing w:line="360" w:lineRule="auto"/>
        <w:rPr>
          <w:b/>
          <w:lang w:val="zh-CN"/>
        </w:rPr>
      </w:pPr>
      <w:r>
        <w:rPr>
          <w:b/>
          <w:lang w:val="zh-CN"/>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w:t>
      </w:r>
      <w:bookmarkStart w:id="66" w:name="OLE_LINK133"/>
      <w:r/>
      <w:bookmarkStart w:id="67" w:name="OLE_LINK134"/>
      <w:r>
        <w:rPr>
          <w:b/>
          <w:lang w:val="zh-CN"/>
        </w:rPr>
        <w:t xml:space="preserve">《中华人民共和国政府采购法》第二十二条规定</w:t>
      </w:r>
      <w:bookmarkEnd w:id="66"/>
      <w:r/>
      <w:bookmarkEnd w:id="67"/>
      <w:r>
        <w:rPr>
          <w:b/>
          <w:lang w:val="zh-CN"/>
        </w:rPr>
        <w:t xml:space="preserve">条件的信用记录，其投标无效。</w:t>
      </w:r>
      <w:r/>
    </w:p>
    <w:p>
      <w:pPr>
        <w:pStyle w:val="1011"/>
        <w:ind w:firstLine="422"/>
        <w:spacing w:line="360" w:lineRule="auto"/>
        <w:rPr>
          <w:b/>
          <w:lang w:val="zh-CN"/>
        </w:rPr>
      </w:pPr>
      <w:r>
        <w:rPr>
          <w:b/>
          <w:lang w:val="zh-CN"/>
        </w:rPr>
        <w:t xml:space="preserve">24.评标委员会</w:t>
      </w:r>
      <w:r/>
    </w:p>
    <w:p>
      <w:pPr>
        <w:pStyle w:val="1011"/>
        <w:ind w:firstLine="420"/>
        <w:spacing w:line="360" w:lineRule="auto"/>
        <w:rPr>
          <w:lang w:val="zh-CN"/>
        </w:rPr>
      </w:pPr>
      <w:r>
        <w:rPr>
          <w:lang w:val="zh-CN"/>
        </w:rPr>
        <w:t xml:space="preserve">24.1评标委员会负责具体评标事务，并独立履行下列职责：</w:t>
      </w:r>
      <w:r/>
    </w:p>
    <w:p>
      <w:pPr>
        <w:pStyle w:val="1011"/>
        <w:ind w:firstLine="420"/>
        <w:spacing w:line="360" w:lineRule="auto"/>
        <w:rPr>
          <w:lang w:val="zh-CN"/>
        </w:rPr>
      </w:pPr>
      <w:r>
        <w:rPr>
          <w:lang w:val="zh-CN"/>
        </w:rPr>
        <w:t xml:space="preserve">24.1.1审查、评价投标文件是否符合招标文件的商务、技术等实质性要求；</w:t>
      </w:r>
      <w:r/>
    </w:p>
    <w:p>
      <w:pPr>
        <w:pStyle w:val="1011"/>
        <w:ind w:firstLine="420"/>
        <w:spacing w:line="360" w:lineRule="auto"/>
        <w:rPr>
          <w:lang w:val="zh-CN"/>
        </w:rPr>
      </w:pPr>
      <w:r>
        <w:rPr>
          <w:lang w:val="zh-CN"/>
        </w:rPr>
        <w:t xml:space="preserve">24.1.2要求投标人对投标文件有关事项作出澄清或者说明；</w:t>
      </w:r>
      <w:r/>
    </w:p>
    <w:p>
      <w:pPr>
        <w:pStyle w:val="1011"/>
        <w:ind w:firstLine="420"/>
        <w:spacing w:line="360" w:lineRule="auto"/>
        <w:rPr>
          <w:lang w:val="zh-CN"/>
        </w:rPr>
      </w:pPr>
      <w:r>
        <w:rPr>
          <w:lang w:val="zh-CN"/>
        </w:rPr>
        <w:t xml:space="preserve">24.1.3对投标文件进行比较和评价；</w:t>
      </w:r>
      <w:r/>
    </w:p>
    <w:p>
      <w:pPr>
        <w:pStyle w:val="1011"/>
        <w:ind w:firstLine="420"/>
        <w:spacing w:line="360" w:lineRule="auto"/>
        <w:rPr>
          <w:lang w:val="zh-CN"/>
        </w:rPr>
      </w:pPr>
      <w:r>
        <w:rPr>
          <w:lang w:val="zh-CN"/>
        </w:rPr>
        <w:t xml:space="preserve">24.1.4确定中标候选人名单，以及根据采购人委托直接确定中标人；</w:t>
      </w:r>
      <w:r/>
    </w:p>
    <w:p>
      <w:pPr>
        <w:pStyle w:val="1011"/>
        <w:ind w:firstLine="420"/>
        <w:spacing w:line="360" w:lineRule="auto"/>
        <w:rPr>
          <w:lang w:val="zh-CN"/>
        </w:rPr>
      </w:pPr>
      <w:r>
        <w:rPr>
          <w:lang w:val="zh-CN"/>
        </w:rPr>
        <w:t xml:space="preserve">24.1.5向采购人、采购代理机构或者有关部门报告评标中发现的违法行为。</w:t>
      </w:r>
      <w:r/>
    </w:p>
    <w:p>
      <w:pPr>
        <w:pStyle w:val="1011"/>
        <w:ind w:firstLine="420"/>
        <w:spacing w:line="360" w:lineRule="auto"/>
        <w:rPr>
          <w:lang w:val="zh-CN"/>
        </w:rPr>
      </w:pPr>
      <w:r>
        <w:rPr>
          <w:lang w:val="zh-CN"/>
        </w:rPr>
        <w:t xml:space="preserve">24.2评标委员会成员应当履行下列义务：</w:t>
      </w:r>
      <w:r/>
    </w:p>
    <w:p>
      <w:pPr>
        <w:pStyle w:val="1011"/>
        <w:ind w:firstLine="420"/>
        <w:spacing w:line="360" w:lineRule="auto"/>
        <w:rPr>
          <w:lang w:val="zh-CN"/>
        </w:rPr>
      </w:pPr>
      <w:r>
        <w:rPr>
          <w:lang w:val="zh-CN"/>
        </w:rPr>
        <w:t xml:space="preserve">24.2.1遵纪守法，客观、公正、廉洁地履行职责；</w:t>
      </w:r>
      <w:r/>
    </w:p>
    <w:p>
      <w:pPr>
        <w:pStyle w:val="1011"/>
        <w:ind w:firstLine="420"/>
        <w:spacing w:line="360" w:lineRule="auto"/>
        <w:rPr>
          <w:lang w:val="zh-CN"/>
        </w:rPr>
      </w:pPr>
      <w:r>
        <w:rPr>
          <w:lang w:val="zh-CN"/>
        </w:rPr>
        <w:t xml:space="preserve">24.2.2按照招标文件规定的评标办法和评标标准进行评标，对评审意见承担个人责任；</w:t>
      </w:r>
      <w:r/>
    </w:p>
    <w:p>
      <w:pPr>
        <w:pStyle w:val="1011"/>
        <w:ind w:firstLine="420"/>
        <w:spacing w:line="360" w:lineRule="auto"/>
        <w:rPr>
          <w:lang w:val="zh-CN"/>
        </w:rPr>
      </w:pPr>
      <w:r>
        <w:rPr>
          <w:lang w:val="zh-CN"/>
        </w:rPr>
        <w:t xml:space="preserve">24.2.3对评标过程和结果，以及投标人的商业秘密保密；</w:t>
      </w:r>
      <w:r/>
    </w:p>
    <w:p>
      <w:pPr>
        <w:pStyle w:val="1011"/>
        <w:ind w:firstLine="420"/>
        <w:spacing w:line="360" w:lineRule="auto"/>
        <w:rPr>
          <w:lang w:val="zh-CN"/>
        </w:rPr>
      </w:pPr>
      <w:r>
        <w:rPr>
          <w:lang w:val="zh-CN"/>
        </w:rPr>
        <w:t xml:space="preserve">24.2.4评标委员会根据全体评标成员签字的原始评标记录和评标结果编写评标报告。评标报告应当包括以下内容： </w:t>
      </w:r>
      <w:r/>
    </w:p>
    <w:p>
      <w:pPr>
        <w:pStyle w:val="1011"/>
        <w:ind w:firstLine="420"/>
        <w:spacing w:line="360" w:lineRule="auto"/>
        <w:rPr>
          <w:lang w:val="zh-CN"/>
        </w:rPr>
      </w:pPr>
      <w:r>
        <w:rPr>
          <w:lang w:val="zh-CN"/>
        </w:rPr>
        <w:t xml:space="preserve">（一）招标公告刊登的媒体名称、开标日期和地点；</w:t>
      </w:r>
      <w:r/>
    </w:p>
    <w:p>
      <w:pPr>
        <w:pStyle w:val="1011"/>
        <w:ind w:firstLine="420"/>
        <w:spacing w:line="360" w:lineRule="auto"/>
        <w:rPr>
          <w:lang w:val="zh-CN"/>
        </w:rPr>
      </w:pPr>
      <w:r>
        <w:rPr>
          <w:lang w:val="zh-CN"/>
        </w:rPr>
        <w:t xml:space="preserve">（二）投标人名单和评标委员会成员名单；</w:t>
      </w:r>
      <w:r/>
    </w:p>
    <w:p>
      <w:pPr>
        <w:pStyle w:val="1011"/>
        <w:ind w:firstLine="420"/>
        <w:spacing w:line="360" w:lineRule="auto"/>
        <w:rPr>
          <w:lang w:val="zh-CN"/>
        </w:rPr>
      </w:pPr>
      <w:r>
        <w:rPr>
          <w:lang w:val="zh-CN"/>
        </w:rPr>
        <w:t xml:space="preserve">（三）评标方法和标准；</w:t>
      </w:r>
      <w:r/>
    </w:p>
    <w:p>
      <w:pPr>
        <w:pStyle w:val="1011"/>
        <w:ind w:firstLine="420"/>
        <w:spacing w:line="360" w:lineRule="auto"/>
        <w:rPr>
          <w:lang w:val="zh-CN"/>
        </w:rPr>
      </w:pPr>
      <w:r>
        <w:rPr>
          <w:lang w:val="zh-CN"/>
        </w:rPr>
        <w:t xml:space="preserve">（四）开标记录和评标情况及说明，包括无效投标人名单及原因；</w:t>
      </w:r>
      <w:r/>
    </w:p>
    <w:p>
      <w:pPr>
        <w:pStyle w:val="1011"/>
        <w:ind w:firstLine="420"/>
        <w:spacing w:line="360" w:lineRule="auto"/>
        <w:rPr>
          <w:lang w:val="zh-CN"/>
        </w:rPr>
      </w:pPr>
      <w:r>
        <w:rPr>
          <w:lang w:val="zh-CN"/>
        </w:rPr>
        <w:t xml:space="preserve">（五）评标结果，确定的中标候选人名单或者经采购人委托直接确定的中标人；</w:t>
      </w:r>
      <w:r/>
    </w:p>
    <w:p>
      <w:pPr>
        <w:pStyle w:val="1011"/>
        <w:ind w:firstLine="420"/>
        <w:spacing w:line="360" w:lineRule="auto"/>
        <w:rPr>
          <w:lang w:val="zh-CN"/>
        </w:rPr>
      </w:pPr>
      <w:r>
        <w:rPr>
          <w:lang w:val="zh-CN"/>
        </w:rPr>
        <w:t xml:space="preserve">（六）其他需要说明的情况，包括评标过程中投标人根据评标委员会要求进行的澄清、说明或者补正，评标委员会成员的更换等。</w:t>
      </w:r>
      <w:r/>
    </w:p>
    <w:p>
      <w:pPr>
        <w:pStyle w:val="1011"/>
        <w:ind w:firstLine="420"/>
        <w:spacing w:line="360" w:lineRule="auto"/>
        <w:rPr>
          <w:lang w:val="zh-CN"/>
        </w:rPr>
      </w:pPr>
      <w:r>
        <w:rPr>
          <w:lang w:val="zh-CN"/>
        </w:rPr>
        <w:t xml:space="preserve">24.2.5配合相关部门的投诉处理工作；</w:t>
      </w:r>
      <w:r/>
    </w:p>
    <w:p>
      <w:pPr>
        <w:pStyle w:val="1011"/>
        <w:ind w:firstLine="420"/>
        <w:spacing w:line="360" w:lineRule="auto"/>
        <w:rPr>
          <w:lang w:val="zh-CN"/>
        </w:rPr>
      </w:pPr>
      <w:r>
        <w:rPr>
          <w:lang w:val="zh-CN"/>
        </w:rPr>
        <w:t xml:space="preserve">24.2.6配合采购人和采购代理机构答复投标人提出的质疑。</w:t>
      </w:r>
      <w:r/>
    </w:p>
    <w:p>
      <w:pPr>
        <w:pStyle w:val="1011"/>
        <w:ind w:firstLine="422"/>
        <w:spacing w:line="360" w:lineRule="auto"/>
        <w:rPr>
          <w:b/>
          <w:lang w:val="zh-CN"/>
        </w:rPr>
      </w:pPr>
      <w:r>
        <w:rPr>
          <w:b/>
          <w:lang w:val="zh-CN"/>
        </w:rPr>
        <w:t xml:space="preserve">25.评标内容的保密</w:t>
      </w:r>
      <w:r/>
    </w:p>
    <w:p>
      <w:pPr>
        <w:pStyle w:val="1011"/>
        <w:ind w:firstLine="420"/>
        <w:spacing w:line="360" w:lineRule="auto"/>
        <w:rPr>
          <w:lang w:val="zh-CN"/>
        </w:rPr>
      </w:pPr>
      <w:r>
        <w:rPr>
          <w:lang w:val="zh-CN"/>
        </w:rPr>
        <w:t xml:space="preserve">25.1公开开标后，直到宣布授予中标合同为止，凡属于审查、澄清、评价和比较投标的所有资料，有关授予合同的信息都不应向投标人或与评标无关的其他人泄露。</w:t>
      </w:r>
      <w:r/>
    </w:p>
    <w:p>
      <w:pPr>
        <w:pStyle w:val="1011"/>
        <w:ind w:firstLine="420"/>
        <w:spacing w:line="360" w:lineRule="auto"/>
        <w:rPr>
          <w:lang w:val="zh-CN"/>
        </w:rPr>
      </w:pPr>
      <w:r>
        <w:rPr>
          <w:lang w:val="zh-CN"/>
        </w:rPr>
        <w:t xml:space="preserve">25.2在投标文件的审查、澄清、评价和比较以及授予合同的过程中，投标人对采购人、采购代理机构和评标委员会成员施加影响的任何行为，都将取消其中标资格。</w:t>
      </w:r>
      <w:r/>
    </w:p>
    <w:p>
      <w:pPr>
        <w:pStyle w:val="1011"/>
        <w:ind w:firstLine="422"/>
        <w:spacing w:line="360" w:lineRule="auto"/>
        <w:rPr>
          <w:b/>
          <w:lang w:val="zh-CN"/>
        </w:rPr>
      </w:pPr>
      <w:r>
        <w:rPr>
          <w:b/>
          <w:lang w:val="zh-CN"/>
        </w:rPr>
        <w:t xml:space="preserve">26.对投标文件初审</w:t>
      </w:r>
      <w:r/>
    </w:p>
    <w:p>
      <w:pPr>
        <w:pStyle w:val="1011"/>
        <w:ind w:firstLine="420"/>
        <w:spacing w:line="360" w:lineRule="auto"/>
        <w:rPr>
          <w:lang w:val="zh-CN"/>
        </w:rPr>
      </w:pPr>
      <w:r>
        <w:rPr>
          <w:lang w:val="zh-CN"/>
        </w:rPr>
        <w:t xml:space="preserve">26.1评标委员会应当对符合资格的投标人的投标文件进行符合性审查，以确定其是否满足招标文件的实质性要求。</w:t>
      </w:r>
      <w:r/>
    </w:p>
    <w:p>
      <w:pPr>
        <w:pStyle w:val="1011"/>
        <w:ind w:firstLine="420"/>
        <w:spacing w:line="360" w:lineRule="auto"/>
        <w:rPr>
          <w:lang w:val="zh-CN"/>
        </w:rPr>
      </w:pPr>
      <w:r>
        <w:rPr>
          <w:lang w:val="zh-CN"/>
        </w:rPr>
        <w:t xml:space="preserve">投标文件有下列情况之一者评标委员会有权将其拒绝：</w:t>
      </w:r>
      <w:r/>
    </w:p>
    <w:p>
      <w:pPr>
        <w:pStyle w:val="1011"/>
        <w:ind w:firstLine="420"/>
        <w:spacing w:line="360" w:lineRule="auto"/>
        <w:rPr>
          <w:lang w:val="zh-CN"/>
        </w:rPr>
      </w:pPr>
      <w:r>
        <w:rPr>
          <w:lang w:val="zh-CN"/>
        </w:rPr>
        <w:t xml:space="preserve">26.1.1投标人的投标文件未按照本须知规定制作的；</w:t>
      </w:r>
      <w:r/>
    </w:p>
    <w:p>
      <w:pPr>
        <w:pStyle w:val="1011"/>
        <w:ind w:firstLine="420"/>
        <w:spacing w:line="360" w:lineRule="auto"/>
        <w:rPr>
          <w:lang w:val="zh-CN"/>
        </w:rPr>
      </w:pPr>
      <w:r>
        <w:rPr>
          <w:lang w:val="zh-CN"/>
        </w:rPr>
        <w:t xml:space="preserve">26.1.2未按本须知规定提交资格文件；</w:t>
      </w:r>
      <w:r/>
    </w:p>
    <w:p>
      <w:pPr>
        <w:pStyle w:val="1011"/>
        <w:ind w:firstLine="420"/>
        <w:spacing w:line="360" w:lineRule="auto"/>
        <w:rPr>
          <w:lang w:val="zh-CN"/>
        </w:rPr>
      </w:pPr>
      <w:r>
        <w:rPr>
          <w:lang w:val="zh-CN"/>
        </w:rPr>
        <w:t xml:space="preserve">26.1.3与招标文件有重大偏离；</w:t>
      </w:r>
      <w:r/>
    </w:p>
    <w:p>
      <w:pPr>
        <w:pStyle w:val="1011"/>
        <w:ind w:firstLine="420"/>
        <w:spacing w:line="360" w:lineRule="auto"/>
        <w:rPr>
          <w:lang w:val="zh-CN"/>
        </w:rPr>
      </w:pPr>
      <w:r>
        <w:rPr>
          <w:lang w:val="zh-CN"/>
        </w:rPr>
        <w:t xml:space="preserve">26.1.4投标人拒绝修正错误；</w:t>
      </w:r>
      <w:r/>
    </w:p>
    <w:p>
      <w:pPr>
        <w:pStyle w:val="1011"/>
        <w:ind w:firstLine="420"/>
        <w:spacing w:line="360" w:lineRule="auto"/>
        <w:rPr>
          <w:lang w:val="zh-CN"/>
        </w:rPr>
      </w:pPr>
      <w:r>
        <w:rPr>
          <w:lang w:val="zh-CN"/>
        </w:rPr>
        <w:t xml:space="preserve">26.1.5投标人的报价是选择性的；</w:t>
      </w:r>
      <w:r/>
    </w:p>
    <w:p>
      <w:pPr>
        <w:pStyle w:val="1011"/>
        <w:ind w:firstLine="420"/>
        <w:spacing w:line="360" w:lineRule="auto"/>
        <w:rPr>
          <w:lang w:val="zh-CN"/>
        </w:rPr>
      </w:pPr>
      <w:r>
        <w:rPr>
          <w:lang w:val="zh-CN"/>
        </w:rPr>
        <w:t xml:space="preserve">26.1.6投标人的报价只投了部分内容；</w:t>
      </w:r>
      <w:r/>
    </w:p>
    <w:p>
      <w:pPr>
        <w:pStyle w:val="1011"/>
        <w:ind w:firstLine="420"/>
        <w:spacing w:line="360" w:lineRule="auto"/>
        <w:rPr>
          <w:lang w:val="zh-CN"/>
        </w:rPr>
      </w:pPr>
      <w:r>
        <w:rPr>
          <w:lang w:val="zh-CN"/>
        </w:rPr>
        <w:t xml:space="preserve">26.1.7投标人的投标文件出现了评标委员会认为不应当雷同的情况；</w:t>
      </w:r>
      <w:r/>
    </w:p>
    <w:p>
      <w:pPr>
        <w:pStyle w:val="1011"/>
        <w:ind w:firstLine="420"/>
        <w:spacing w:line="360" w:lineRule="auto"/>
        <w:rPr>
          <w:lang w:val="zh-CN"/>
        </w:rPr>
      </w:pPr>
      <w:r>
        <w:rPr>
          <w:lang w:val="zh-CN"/>
        </w:rPr>
        <w:t xml:space="preserve">26.1.8其他被评委会认定无效的情况。</w:t>
      </w:r>
      <w:r/>
    </w:p>
    <w:p>
      <w:pPr>
        <w:pStyle w:val="1011"/>
        <w:ind w:firstLine="420"/>
        <w:spacing w:line="360" w:lineRule="auto"/>
        <w:rPr>
          <w:lang w:val="zh-CN"/>
        </w:rPr>
      </w:pPr>
      <w:r>
        <w:rPr>
          <w:lang w:val="zh-CN"/>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11"/>
        <w:ind w:firstLine="420"/>
        <w:spacing w:line="360" w:lineRule="auto"/>
        <w:rPr>
          <w:lang w:val="zh-CN"/>
        </w:rPr>
      </w:pPr>
      <w:r>
        <w:rPr>
          <w:lang w:val="zh-CN"/>
        </w:rPr>
        <w:t xml:space="preserve">26.3投标文件报价出现前后不一致的，除招标文件另有规定外，按照下列规定修正：</w:t>
      </w:r>
      <w:r/>
    </w:p>
    <w:p>
      <w:pPr>
        <w:pStyle w:val="1011"/>
        <w:ind w:firstLine="420"/>
        <w:spacing w:line="360" w:lineRule="auto"/>
        <w:rPr>
          <w:lang w:val="zh-CN"/>
        </w:rPr>
      </w:pPr>
      <w:r>
        <w:rPr>
          <w:lang w:val="zh-CN"/>
        </w:rPr>
        <w:t xml:space="preserve">（一）投标文件中开标一览表（报价表）内容与投标文件中相应内容不一致的，以开标一览表（报价表）为准；</w:t>
      </w:r>
      <w:r/>
    </w:p>
    <w:p>
      <w:pPr>
        <w:pStyle w:val="1011"/>
        <w:ind w:firstLine="420"/>
        <w:spacing w:line="360" w:lineRule="auto"/>
        <w:rPr>
          <w:lang w:val="zh-CN"/>
        </w:rPr>
      </w:pPr>
      <w:r>
        <w:rPr>
          <w:lang w:val="zh-CN"/>
        </w:rPr>
        <w:t xml:space="preserve">（二）大写金额和小写金额不一致的，以大写金额为准；</w:t>
      </w:r>
      <w:r/>
    </w:p>
    <w:p>
      <w:pPr>
        <w:pStyle w:val="1011"/>
        <w:ind w:firstLine="420"/>
        <w:spacing w:line="360" w:lineRule="auto"/>
        <w:rPr>
          <w:lang w:val="zh-CN"/>
        </w:rPr>
      </w:pPr>
      <w:r>
        <w:rPr>
          <w:lang w:val="zh-CN"/>
        </w:rPr>
        <w:t xml:space="preserve">（三）单价金额小数点或者百分比有明显错位的，以开标一览表的总价为准，并修改单价；</w:t>
      </w:r>
      <w:r/>
    </w:p>
    <w:p>
      <w:pPr>
        <w:pStyle w:val="1011"/>
        <w:ind w:firstLine="420"/>
        <w:spacing w:line="360" w:lineRule="auto"/>
        <w:rPr>
          <w:lang w:val="zh-CN"/>
        </w:rPr>
      </w:pPr>
      <w:r>
        <w:rPr>
          <w:lang w:val="zh-CN"/>
        </w:rPr>
        <w:t xml:space="preserve">（四）总价金额与按单价汇总金额不一致的，以单价金额计算结果为准。</w:t>
      </w:r>
      <w:r/>
    </w:p>
    <w:p>
      <w:pPr>
        <w:pStyle w:val="1011"/>
        <w:ind w:firstLine="420"/>
        <w:spacing w:line="360" w:lineRule="auto"/>
        <w:rPr>
          <w:lang w:val="zh-CN"/>
        </w:rPr>
      </w:pPr>
      <w:r>
        <w:rPr>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11"/>
        <w:ind w:firstLine="420"/>
        <w:spacing w:line="360" w:lineRule="auto"/>
        <w:rPr>
          <w:lang w:val="zh-CN"/>
        </w:rPr>
      </w:pPr>
      <w:r>
        <w:rPr>
          <w:lang w:val="zh-CN"/>
        </w:rPr>
        <w:t xml:space="preserve">26.4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11"/>
        <w:ind w:firstLine="420"/>
        <w:spacing w:line="360" w:lineRule="auto"/>
        <w:rPr>
          <w:lang w:val="zh-CN"/>
        </w:rPr>
      </w:pPr>
      <w:r>
        <w:rPr>
          <w:lang w:val="zh-CN"/>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pStyle w:val="1011"/>
        <w:ind w:firstLine="422"/>
        <w:spacing w:line="360" w:lineRule="auto"/>
        <w:rPr>
          <w:b/>
          <w:lang w:val="zh-CN"/>
        </w:rPr>
      </w:pPr>
      <w:r>
        <w:rPr>
          <w:b/>
          <w:lang w:val="zh-CN"/>
        </w:rPr>
        <w:t xml:space="preserve">27.投标的澄清</w:t>
      </w:r>
      <w:r/>
    </w:p>
    <w:p>
      <w:pPr>
        <w:pStyle w:val="1011"/>
        <w:ind w:firstLine="420"/>
        <w:spacing w:line="360" w:lineRule="auto"/>
        <w:rPr>
          <w:lang w:val="zh-CN"/>
        </w:rPr>
      </w:pPr>
      <w:r>
        <w:rPr>
          <w:lang w:val="zh-CN"/>
        </w:rPr>
        <w:t xml:space="preserve">27.1对于投标文件中含义不明确、同类问题表述不一致或者有明显文字和计算错误的内容，评标委员会应当以书面形式要求投标人作出必要的澄清、说明或者补正。</w:t>
      </w:r>
      <w:r/>
    </w:p>
    <w:p>
      <w:pPr>
        <w:pStyle w:val="1011"/>
        <w:ind w:firstLine="420"/>
        <w:spacing w:line="360" w:lineRule="auto"/>
        <w:rPr>
          <w:lang w:val="zh-CN"/>
        </w:rPr>
      </w:pPr>
      <w:r>
        <w:rPr>
          <w:lang w:val="zh-CN"/>
        </w:rPr>
        <w:t xml:space="preserve">27.2投标人的澄清、说明或者补正应当采用书面形式，并加盖</w:t>
      </w:r>
      <w:r>
        <w:t xml:space="preserve">其单位电子</w:t>
      </w:r>
      <w:r>
        <w:rPr>
          <w:lang w:val="zh-CN"/>
        </w:rPr>
        <w:t xml:space="preserve">公章。投标人的澄清、说明或者补正不得超出投标文件的范围或者改变投标文件的实质性内容。</w:t>
      </w:r>
      <w:r/>
    </w:p>
    <w:p>
      <w:pPr>
        <w:pStyle w:val="1011"/>
        <w:ind w:firstLine="422"/>
        <w:spacing w:line="360" w:lineRule="auto"/>
        <w:rPr>
          <w:lang w:val="zh-CN"/>
        </w:rPr>
      </w:pPr>
      <w:r>
        <w:rPr>
          <w:b/>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lang w:val="zh-CN"/>
        </w:rPr>
        <w:t xml:space="preserve">(</w:t>
      </w:r>
      <w:r>
        <w:rPr>
          <w:b/>
          <w:lang w:val="zh-CN"/>
        </w:rPr>
        <w:t xml:space="preserve">此处规定时间的计算以系统中的倒计时间为准，</w:t>
      </w:r>
      <w:r>
        <w:rPr>
          <w:lang w:val="zh-CN"/>
        </w:rPr>
        <w:t xml:space="preserve">供应商应随时保持系统在线，如因供应商自身原因未在规定时间内提交澄清确认资料的，导致的不利后果由供应商自行承担。</w:t>
      </w:r>
      <w:r/>
    </w:p>
    <w:p>
      <w:pPr>
        <w:pStyle w:val="1011"/>
        <w:ind w:firstLine="422"/>
        <w:spacing w:line="360" w:lineRule="auto"/>
        <w:rPr>
          <w:b/>
          <w:lang w:val="zh-CN"/>
        </w:rPr>
      </w:pPr>
      <w:r>
        <w:rPr>
          <w:b/>
          <w:lang w:val="zh-CN"/>
        </w:rPr>
        <w:t xml:space="preserve">28.投标无效</w:t>
      </w:r>
      <w:r/>
    </w:p>
    <w:p>
      <w:pPr>
        <w:pStyle w:val="1011"/>
        <w:ind w:firstLine="420"/>
        <w:spacing w:line="360" w:lineRule="auto"/>
        <w:rPr>
          <w:lang w:val="zh-CN"/>
        </w:rPr>
      </w:pPr>
      <w:r>
        <w:rPr>
          <w:lang w:val="zh-CN"/>
        </w:rPr>
        <w:t xml:space="preserve">28.1投标人存在下列情况之一的，投标无效:</w:t>
      </w:r>
      <w:r/>
    </w:p>
    <w:p>
      <w:pPr>
        <w:pStyle w:val="1011"/>
        <w:ind w:firstLine="420"/>
        <w:spacing w:line="360" w:lineRule="auto"/>
        <w:rPr>
          <w:lang w:val="zh-CN"/>
        </w:rPr>
      </w:pPr>
      <w:r>
        <w:rPr>
          <w:lang w:val="zh-CN"/>
        </w:rPr>
        <w:t xml:space="preserve">（</w:t>
      </w:r>
      <w:r>
        <w:t xml:space="preserve">一</w:t>
      </w:r>
      <w:r>
        <w:rPr>
          <w:lang w:val="zh-CN"/>
        </w:rPr>
        <w:t xml:space="preserve">）投标文件未按招标文件要求签署、盖章的；</w:t>
      </w:r>
      <w:r/>
    </w:p>
    <w:p>
      <w:pPr>
        <w:pStyle w:val="1011"/>
        <w:ind w:firstLine="420"/>
        <w:spacing w:line="360" w:lineRule="auto"/>
        <w:rPr>
          <w:lang w:val="zh-CN"/>
        </w:rPr>
      </w:pPr>
      <w:r>
        <w:rPr>
          <w:lang w:val="zh-CN"/>
        </w:rPr>
        <w:t xml:space="preserve">（</w:t>
      </w:r>
      <w:r>
        <w:t xml:space="preserve">二</w:t>
      </w:r>
      <w:r>
        <w:rPr>
          <w:lang w:val="zh-CN"/>
        </w:rPr>
        <w:t xml:space="preserve">）不具备招标文件中规定的资格要求的；</w:t>
      </w:r>
      <w:r/>
    </w:p>
    <w:p>
      <w:pPr>
        <w:pStyle w:val="1011"/>
        <w:ind w:firstLine="420"/>
        <w:spacing w:line="360" w:lineRule="auto"/>
        <w:rPr>
          <w:lang w:val="zh-CN"/>
        </w:rPr>
      </w:pPr>
      <w:r>
        <w:rPr>
          <w:lang w:val="zh-CN"/>
        </w:rPr>
        <w:t xml:space="preserve">（</w:t>
      </w:r>
      <w:r>
        <w:t xml:space="preserve">三</w:t>
      </w:r>
      <w:r>
        <w:rPr>
          <w:lang w:val="zh-CN"/>
        </w:rPr>
        <w:t xml:space="preserve">）报价超过招标文件中规定的预算金额或者最高限价的；</w:t>
      </w:r>
      <w:r/>
    </w:p>
    <w:p>
      <w:pPr>
        <w:pStyle w:val="1011"/>
        <w:ind w:firstLine="420"/>
        <w:spacing w:line="360" w:lineRule="auto"/>
        <w:rPr>
          <w:lang w:val="zh-CN"/>
        </w:rPr>
      </w:pPr>
      <w:r>
        <w:rPr>
          <w:lang w:val="zh-CN"/>
        </w:rPr>
        <w:t xml:space="preserve">（</w:t>
      </w:r>
      <w:r>
        <w:t xml:space="preserve">四</w:t>
      </w:r>
      <w:r>
        <w:rPr>
          <w:lang w:val="zh-CN"/>
        </w:rPr>
        <w:t xml:space="preserve">）投标文件含有采购人不能接受的附加条件的；</w:t>
      </w:r>
      <w:r/>
    </w:p>
    <w:p>
      <w:pPr>
        <w:pStyle w:val="1011"/>
        <w:ind w:firstLine="420"/>
        <w:spacing w:line="360" w:lineRule="auto"/>
        <w:rPr>
          <w:lang w:val="zh-CN"/>
        </w:rPr>
      </w:pPr>
      <w:r>
        <w:rPr>
          <w:lang w:val="zh-CN"/>
        </w:rPr>
        <w:t xml:space="preserve">（五）法律、法规和招标文件规定的其他无效情形。</w:t>
      </w:r>
      <w:r/>
    </w:p>
    <w:p>
      <w:pPr>
        <w:pStyle w:val="1011"/>
        <w:ind w:firstLine="420"/>
        <w:spacing w:line="360" w:lineRule="auto"/>
        <w:rPr>
          <w:lang w:val="zh-CN"/>
        </w:rPr>
      </w:pPr>
      <w:r>
        <w:rPr>
          <w:lang w:val="zh-CN"/>
        </w:rPr>
        <w:t xml:space="preserve">28.2投标人应当遵循公平竞争的原则，不得恶意串通，不得妨碍其他投标人的竞争行为，不得损害采购人或者其他投标人的合法权益。</w:t>
      </w:r>
      <w:r/>
    </w:p>
    <w:p>
      <w:pPr>
        <w:pStyle w:val="1011"/>
        <w:ind w:firstLine="420"/>
        <w:spacing w:line="360" w:lineRule="auto"/>
        <w:rPr>
          <w:lang w:val="zh-CN"/>
        </w:rPr>
      </w:pPr>
      <w:r>
        <w:rPr>
          <w:lang w:val="zh-CN"/>
        </w:rPr>
        <w:t xml:space="preserve">在评标过程中发现投标人有上述情形的，评标委员会应当认定其投标无效，并书面报告本级财政部门。</w:t>
      </w:r>
      <w:r/>
    </w:p>
    <w:p>
      <w:pPr>
        <w:pStyle w:val="1011"/>
        <w:ind w:firstLine="420"/>
        <w:spacing w:line="360" w:lineRule="auto"/>
        <w:rPr>
          <w:lang w:val="zh-CN"/>
        </w:rPr>
      </w:pPr>
      <w:r>
        <w:rPr>
          <w:lang w:val="zh-CN"/>
        </w:rPr>
        <w:t xml:space="preserve">28.3有下列情形之一的，视为投标人串通投标，其投标无效：</w:t>
      </w:r>
      <w:r/>
    </w:p>
    <w:p>
      <w:pPr>
        <w:pStyle w:val="1011"/>
        <w:ind w:firstLine="420"/>
        <w:spacing w:line="360" w:lineRule="auto"/>
        <w:rPr>
          <w:lang w:val="zh-CN"/>
        </w:rPr>
      </w:pPr>
      <w:r>
        <w:rPr>
          <w:lang w:val="zh-CN"/>
        </w:rPr>
        <w:t xml:space="preserve">（一）不同投标人的投标文件由同一单位或者个人编制；</w:t>
      </w:r>
      <w:r/>
    </w:p>
    <w:p>
      <w:pPr>
        <w:pStyle w:val="1011"/>
        <w:ind w:firstLine="420"/>
        <w:spacing w:line="360" w:lineRule="auto"/>
        <w:rPr>
          <w:lang w:val="zh-CN"/>
        </w:rPr>
      </w:pPr>
      <w:r>
        <w:rPr>
          <w:lang w:val="zh-CN"/>
        </w:rPr>
        <w:t xml:space="preserve">（二）不同投标人委托同一单位或者个人办理投标事宜；</w:t>
      </w:r>
      <w:r/>
    </w:p>
    <w:p>
      <w:pPr>
        <w:pStyle w:val="1011"/>
        <w:ind w:firstLine="420"/>
        <w:spacing w:line="360" w:lineRule="auto"/>
        <w:rPr>
          <w:lang w:val="zh-CN"/>
        </w:rPr>
      </w:pPr>
      <w:r>
        <w:rPr>
          <w:lang w:val="zh-CN"/>
        </w:rPr>
        <w:t xml:space="preserve">（三）不同投标人的投标文件载明的项目管理成员或者联系人员为同一人；</w:t>
      </w:r>
      <w:r/>
    </w:p>
    <w:p>
      <w:pPr>
        <w:pStyle w:val="1011"/>
        <w:ind w:firstLine="420"/>
        <w:spacing w:line="360" w:lineRule="auto"/>
        <w:rPr>
          <w:lang w:val="zh-CN"/>
        </w:rPr>
      </w:pPr>
      <w:r>
        <w:rPr>
          <w:lang w:val="zh-CN"/>
        </w:rPr>
        <w:t xml:space="preserve">（四）不同投标人的投标文件异常一致或者投标报价呈规律性差异；</w:t>
      </w:r>
      <w:r/>
    </w:p>
    <w:p>
      <w:pPr>
        <w:pStyle w:val="1011"/>
        <w:ind w:firstLine="420"/>
        <w:spacing w:line="360" w:lineRule="auto"/>
        <w:rPr>
          <w:lang w:val="zh-CN"/>
        </w:rPr>
      </w:pPr>
      <w:r>
        <w:rPr>
          <w:lang w:val="zh-CN"/>
        </w:rPr>
        <w:t xml:space="preserve">（五）不同投标人的投标文件相互混装。</w:t>
      </w:r>
      <w:r/>
    </w:p>
    <w:p>
      <w:pPr>
        <w:pStyle w:val="1011"/>
        <w:ind w:firstLine="422"/>
        <w:spacing w:line="400" w:lineRule="exact"/>
        <w:tabs>
          <w:tab w:val="left" w:pos="0" w:leader="none"/>
        </w:tabs>
        <w:rPr>
          <w:b/>
          <w:lang w:val="zh-CN"/>
        </w:rPr>
      </w:pPr>
      <w:r>
        <w:rPr>
          <w:b/>
          <w:lang w:val="zh-CN"/>
        </w:rPr>
        <w:t xml:space="preserve">29.废标</w:t>
      </w:r>
      <w:r/>
    </w:p>
    <w:p>
      <w:pPr>
        <w:pStyle w:val="1011"/>
        <w:ind w:firstLine="422"/>
        <w:spacing w:line="400" w:lineRule="exact"/>
        <w:tabs>
          <w:tab w:val="left" w:pos="0" w:leader="none"/>
        </w:tabs>
        <w:rPr>
          <w:rFonts w:ascii="宋体" w:hAnsi="宋体" w:cs="宋体"/>
          <w:b/>
          <w:lang w:val="zh-CN"/>
        </w:rPr>
      </w:pPr>
      <w:r>
        <w:rPr>
          <w:rFonts w:hint="eastAsia" w:ascii="宋体" w:hAnsi="宋体" w:cs="宋体"/>
          <w:b/>
          <w:lang w:val="zh-CN"/>
        </w:rPr>
        <w:t xml:space="preserve">29.1无效投标条款</w:t>
      </w:r>
      <w:r>
        <w:rPr>
          <w:rFonts w:ascii="宋体" w:hAnsi="宋体" w:cs="宋体"/>
          <w:b/>
          <w:lang w:val="zh-CN"/>
        </w:rPr>
      </w:r>
      <w:r/>
    </w:p>
    <w:p>
      <w:pPr>
        <w:pStyle w:val="1011"/>
        <w:ind w:firstLine="422"/>
        <w:spacing w:line="400" w:lineRule="exact"/>
        <w:tabs>
          <w:tab w:val="left" w:pos="0" w:leader="none"/>
        </w:tabs>
        <w:rPr>
          <w:rFonts w:ascii="宋体" w:hAnsi="宋体" w:cs="宋体"/>
          <w:b/>
          <w:lang w:val="zh-CN"/>
        </w:rPr>
      </w:pPr>
      <w:r>
        <w:rPr>
          <w:rFonts w:hint="eastAsia" w:ascii="宋体" w:hAnsi="宋体" w:cs="宋体"/>
          <w:b/>
          <w:lang w:val="zh-CN"/>
        </w:rPr>
        <w:t xml:space="preserve">29.1.1 投标人在苏采云系统规定的时间内未成功解密电子投标文件的。</w:t>
      </w:r>
      <w:r>
        <w:rPr>
          <w:rFonts w:ascii="宋体" w:hAnsi="宋体" w:cs="宋体"/>
          <w:b/>
          <w:lang w:val="zh-CN"/>
        </w:rPr>
      </w:r>
      <w:r/>
    </w:p>
    <w:p>
      <w:pPr>
        <w:pStyle w:val="1011"/>
        <w:ind w:firstLine="422"/>
        <w:spacing w:line="400" w:lineRule="exact"/>
        <w:tabs>
          <w:tab w:val="left" w:pos="0" w:leader="none"/>
        </w:tabs>
        <w:rPr>
          <w:rFonts w:ascii="宋体" w:hAnsi="宋体" w:cs="宋体"/>
          <w:b/>
          <w:lang w:val="zh-CN"/>
        </w:rPr>
      </w:pPr>
      <w:r>
        <w:rPr>
          <w:rFonts w:hint="eastAsia" w:ascii="宋体" w:hAnsi="宋体" w:cs="宋体"/>
          <w:b/>
          <w:lang w:val="zh-CN"/>
        </w:rPr>
        <w:t xml:space="preserve">29.1.2 投标人未按照招标文件要求上传电子投标文件的。</w:t>
      </w:r>
      <w:r>
        <w:rPr>
          <w:rFonts w:ascii="宋体" w:hAnsi="宋体" w:cs="宋体"/>
          <w:b/>
          <w:lang w:val="zh-CN"/>
        </w:rPr>
      </w:r>
      <w:r/>
    </w:p>
    <w:p>
      <w:pPr>
        <w:pStyle w:val="1011"/>
        <w:ind w:firstLine="422"/>
        <w:spacing w:line="400" w:lineRule="exact"/>
        <w:tabs>
          <w:tab w:val="left" w:pos="0" w:leader="none"/>
        </w:tabs>
        <w:rPr>
          <w:rFonts w:ascii="宋体" w:hAnsi="宋体" w:cs="宋体"/>
          <w:b/>
          <w:lang w:val="zh-CN"/>
        </w:rPr>
      </w:pPr>
      <w:r>
        <w:rPr>
          <w:rFonts w:hint="eastAsia" w:ascii="宋体" w:hAnsi="宋体" w:cs="宋体"/>
          <w:b/>
          <w:lang w:val="zh-CN"/>
        </w:rPr>
        <w:t xml:space="preserve">29.1.3同一投标人提交两个（含两个）以上不同的投标报价的。</w:t>
      </w:r>
      <w:r>
        <w:rPr>
          <w:rFonts w:ascii="宋体" w:hAnsi="宋体" w:cs="宋体"/>
          <w:b/>
          <w:lang w:val="zh-CN"/>
        </w:rPr>
      </w:r>
      <w:r/>
    </w:p>
    <w:p>
      <w:pPr>
        <w:pStyle w:val="1011"/>
        <w:ind w:firstLine="422"/>
        <w:spacing w:line="400" w:lineRule="exact"/>
        <w:tabs>
          <w:tab w:val="left" w:pos="0" w:leader="none"/>
        </w:tabs>
        <w:rPr>
          <w:rFonts w:ascii="宋体" w:hAnsi="宋体" w:cs="宋体"/>
          <w:b/>
          <w:lang w:val="zh-CN"/>
        </w:rPr>
      </w:pPr>
      <w:r>
        <w:rPr>
          <w:rFonts w:hint="eastAsia" w:ascii="宋体" w:hAnsi="宋体" w:cs="宋体"/>
          <w:b/>
          <w:lang w:val="zh-CN"/>
        </w:rPr>
        <w:t xml:space="preserve">29.1.4投标人不具备招标文件中规定资格要求的。</w:t>
      </w:r>
      <w:r>
        <w:rPr>
          <w:rFonts w:ascii="宋体" w:hAnsi="宋体" w:cs="宋体"/>
          <w:b/>
          <w:lang w:val="zh-CN"/>
        </w:rPr>
      </w:r>
      <w:r/>
    </w:p>
    <w:p>
      <w:pPr>
        <w:pStyle w:val="1011"/>
        <w:ind w:firstLine="422"/>
        <w:spacing w:line="400" w:lineRule="exact"/>
        <w:tabs>
          <w:tab w:val="left" w:pos="0" w:leader="none"/>
        </w:tabs>
        <w:rPr>
          <w:rFonts w:ascii="宋体" w:hAnsi="宋体" w:cs="宋体"/>
          <w:b/>
          <w:lang w:val="zh-CN"/>
        </w:rPr>
      </w:pPr>
      <w:r>
        <w:rPr>
          <w:rFonts w:hint="eastAsia" w:ascii="宋体" w:hAnsi="宋体" w:cs="宋体"/>
          <w:b/>
          <w:lang w:val="zh-CN"/>
        </w:rPr>
        <w:t xml:space="preserve">29.1.5投标人的报价超过了采购预算或最高限价的。</w:t>
      </w:r>
      <w:r>
        <w:rPr>
          <w:rFonts w:ascii="宋体" w:hAnsi="宋体" w:cs="宋体"/>
          <w:b/>
          <w:lang w:val="zh-CN"/>
        </w:rPr>
      </w:r>
      <w:r/>
    </w:p>
    <w:p>
      <w:pPr>
        <w:pStyle w:val="1011"/>
        <w:ind w:firstLine="422"/>
        <w:spacing w:line="400" w:lineRule="exact"/>
        <w:tabs>
          <w:tab w:val="left" w:pos="0" w:leader="none"/>
        </w:tabs>
        <w:rPr>
          <w:rFonts w:ascii="宋体" w:hAnsi="宋体" w:cs="宋体"/>
          <w:b/>
          <w:lang w:val="zh-CN"/>
        </w:rPr>
      </w:pPr>
      <w:r>
        <w:rPr>
          <w:rFonts w:hint="eastAsia" w:ascii="宋体" w:hAnsi="宋体" w:cs="宋体"/>
          <w:b/>
          <w:lang w:val="zh-CN"/>
        </w:rPr>
        <w:t xml:space="preserve">29.1.6未通过符合性审查的。</w:t>
      </w:r>
      <w:r>
        <w:rPr>
          <w:rFonts w:ascii="宋体" w:hAnsi="宋体" w:cs="宋体"/>
          <w:b/>
          <w:lang w:val="zh-CN"/>
        </w:rPr>
      </w:r>
      <w:r/>
    </w:p>
    <w:p>
      <w:pPr>
        <w:pStyle w:val="1011"/>
        <w:ind w:firstLine="422"/>
        <w:spacing w:line="400" w:lineRule="exact"/>
        <w:tabs>
          <w:tab w:val="left" w:pos="0" w:leader="none"/>
        </w:tabs>
        <w:rPr>
          <w:rFonts w:ascii="宋体" w:hAnsi="宋体" w:cs="宋体"/>
          <w:b/>
          <w:lang w:val="zh-CN"/>
        </w:rPr>
      </w:pPr>
      <w:r>
        <w:rPr>
          <w:rFonts w:hint="eastAsia" w:ascii="宋体" w:hAnsi="宋体" w:cs="宋体"/>
          <w:b/>
          <w:lang w:val="zh-CN"/>
        </w:rPr>
        <w:t xml:space="preserve">29.1.7不符合招标文件中规定的实质性要求和条件的。</w:t>
      </w:r>
      <w:r>
        <w:rPr>
          <w:rFonts w:ascii="宋体" w:hAnsi="宋体" w:cs="宋体"/>
          <w:b/>
          <w:lang w:val="zh-CN"/>
        </w:rPr>
      </w:r>
      <w:r/>
    </w:p>
    <w:p>
      <w:pPr>
        <w:pStyle w:val="1011"/>
        <w:ind w:firstLine="422"/>
        <w:spacing w:line="400" w:lineRule="exact"/>
        <w:tabs>
          <w:tab w:val="left" w:pos="0" w:leader="none"/>
        </w:tabs>
        <w:rPr>
          <w:rFonts w:ascii="宋体" w:hAnsi="宋体" w:cs="宋体"/>
          <w:b/>
          <w:lang w:val="zh-CN"/>
        </w:rPr>
      </w:pPr>
      <w:r>
        <w:rPr>
          <w:rFonts w:hint="eastAsia" w:ascii="宋体" w:hAnsi="宋体" w:cs="宋体"/>
          <w:b/>
          <w:lang w:val="zh-CN"/>
        </w:rPr>
        <w:t xml:space="preserve">29.1.8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b/>
          <w:lang w:val="zh-CN"/>
        </w:rPr>
      </w:r>
      <w:r/>
    </w:p>
    <w:p>
      <w:pPr>
        <w:pStyle w:val="1011"/>
        <w:ind w:firstLine="422"/>
        <w:spacing w:line="400" w:lineRule="exact"/>
        <w:tabs>
          <w:tab w:val="left" w:pos="0" w:leader="none"/>
        </w:tabs>
        <w:rPr>
          <w:rFonts w:ascii="宋体" w:hAnsi="宋体" w:cs="宋体"/>
          <w:b/>
          <w:lang w:val="zh-CN"/>
        </w:rPr>
      </w:pPr>
      <w:r>
        <w:rPr>
          <w:rFonts w:hint="eastAsia" w:ascii="宋体" w:hAnsi="宋体" w:cs="宋体"/>
          <w:b/>
          <w:lang w:val="zh-CN"/>
        </w:rPr>
        <w:t xml:space="preserve">29.1.9 投标文件含有采购人不能接受的附加条件的。</w:t>
      </w:r>
      <w:r>
        <w:rPr>
          <w:rFonts w:ascii="宋体" w:hAnsi="宋体" w:cs="宋体"/>
          <w:b/>
          <w:lang w:val="zh-CN"/>
        </w:rPr>
      </w:r>
      <w:r/>
    </w:p>
    <w:p>
      <w:pPr>
        <w:pStyle w:val="1011"/>
        <w:ind w:firstLine="422"/>
        <w:spacing w:line="400" w:lineRule="exact"/>
        <w:tabs>
          <w:tab w:val="left" w:pos="0" w:leader="none"/>
        </w:tabs>
        <w:rPr>
          <w:rFonts w:ascii="宋体" w:hAnsi="宋体" w:cs="宋体"/>
          <w:b/>
          <w:lang w:val="zh-CN"/>
        </w:rPr>
      </w:pPr>
      <w:r>
        <w:rPr>
          <w:rFonts w:hint="eastAsia" w:ascii="宋体" w:hAnsi="宋体" w:cs="宋体"/>
          <w:b/>
          <w:lang w:val="zh-CN"/>
        </w:rPr>
        <w:t xml:space="preserve">29.1.10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cs="宋体"/>
          <w:b/>
          <w:lang w:val="zh-CN"/>
        </w:rPr>
      </w:r>
      <w:r/>
    </w:p>
    <w:p>
      <w:pPr>
        <w:pStyle w:val="1011"/>
        <w:ind w:firstLine="422"/>
        <w:spacing w:line="400" w:lineRule="exact"/>
        <w:tabs>
          <w:tab w:val="left" w:pos="0" w:leader="none"/>
        </w:tabs>
        <w:rPr>
          <w:rFonts w:ascii="宋体" w:hAnsi="宋体" w:cs="宋体"/>
          <w:b/>
          <w:lang w:val="zh-CN"/>
        </w:rPr>
      </w:pPr>
      <w:r>
        <w:rPr>
          <w:rFonts w:hint="eastAsia" w:ascii="宋体" w:hAnsi="宋体" w:cs="宋体"/>
          <w:b/>
          <w:lang w:val="zh-CN"/>
        </w:rPr>
        <w:t xml:space="preserve">29.1.11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cs="宋体"/>
          <w:b/>
          <w:lang w:val="zh-CN"/>
        </w:rPr>
      </w:r>
      <w:r/>
    </w:p>
    <w:p>
      <w:pPr>
        <w:pStyle w:val="1011"/>
        <w:ind w:firstLine="422"/>
        <w:spacing w:line="400" w:lineRule="exact"/>
        <w:tabs>
          <w:tab w:val="left" w:pos="0" w:leader="none"/>
        </w:tabs>
        <w:rPr>
          <w:rFonts w:ascii="宋体" w:hAnsi="宋体" w:cs="宋体"/>
          <w:b/>
          <w:lang w:val="zh-CN"/>
        </w:rPr>
      </w:pPr>
      <w:r>
        <w:rPr>
          <w:rFonts w:hint="eastAsia" w:ascii="宋体" w:hAnsi="宋体" w:cs="宋体"/>
          <w:b/>
          <w:lang w:val="zh-CN"/>
        </w:rPr>
        <w:t xml:space="preserve">29.1.12 投标文件未按照招标文件要求加盖CA电子公章的。</w:t>
      </w:r>
      <w:r>
        <w:rPr>
          <w:rFonts w:ascii="宋体" w:hAnsi="宋体" w:cs="宋体"/>
          <w:b/>
          <w:lang w:val="zh-CN"/>
        </w:rPr>
      </w:r>
      <w:r/>
    </w:p>
    <w:p>
      <w:pPr>
        <w:pStyle w:val="1011"/>
        <w:ind w:firstLine="422"/>
        <w:spacing w:line="400" w:lineRule="exact"/>
        <w:tabs>
          <w:tab w:val="left" w:pos="0" w:leader="none"/>
        </w:tabs>
        <w:rPr>
          <w:rFonts w:ascii="宋体" w:hAnsi="宋体" w:cs="宋体"/>
          <w:b/>
          <w:lang w:val="zh-CN"/>
        </w:rPr>
      </w:pPr>
      <w:r>
        <w:rPr>
          <w:rFonts w:hint="eastAsia" w:ascii="宋体" w:hAnsi="宋体" w:cs="宋体"/>
          <w:b/>
          <w:lang w:val="zh-CN"/>
        </w:rPr>
        <w:t xml:space="preserve">29.1.13投标文件</w:t>
      </w:r>
      <w:r>
        <w:rPr>
          <w:rFonts w:hint="eastAsia" w:ascii="宋体" w:hAnsi="宋体" w:cs="宋体"/>
          <w:b/>
        </w:rPr>
        <w:t xml:space="preserve">文件制作机器码一致的为无效响应。</w:t>
      </w:r>
      <w:r>
        <w:rPr>
          <w:rFonts w:ascii="宋体" w:hAnsi="宋体" w:cs="宋体"/>
          <w:b/>
          <w:lang w:val="zh-CN"/>
        </w:rPr>
      </w:r>
      <w:r/>
    </w:p>
    <w:p>
      <w:pPr>
        <w:pStyle w:val="1011"/>
        <w:ind w:firstLine="422"/>
        <w:spacing w:line="400" w:lineRule="exact"/>
        <w:tabs>
          <w:tab w:val="left" w:pos="0" w:leader="none"/>
        </w:tabs>
        <w:rPr>
          <w:rFonts w:ascii="宋体" w:hAnsi="宋体" w:cs="宋体"/>
          <w:b/>
          <w:lang w:val="zh-CN"/>
        </w:rPr>
      </w:pPr>
      <w:r>
        <w:rPr>
          <w:rFonts w:hint="eastAsia" w:ascii="宋体" w:hAnsi="宋体" w:cs="宋体"/>
          <w:b/>
        </w:rPr>
        <w:t xml:space="preserve">29.1.14</w:t>
      </w:r>
      <w:r>
        <w:rPr>
          <w:rFonts w:hint="eastAsia" w:ascii="宋体" w:hAnsi="宋体" w:cs="宋体"/>
          <w:b/>
          <w:lang w:val="zh-CN"/>
        </w:rPr>
        <w:t xml:space="preserve">其他法律、法规及本招标文件规定的属无效投标的情形。</w:t>
      </w:r>
      <w:r>
        <w:rPr>
          <w:rFonts w:ascii="宋体" w:hAnsi="宋体" w:cs="宋体"/>
          <w:b/>
          <w:lang w:val="zh-CN"/>
        </w:rPr>
      </w:r>
      <w:r/>
    </w:p>
    <w:p>
      <w:pPr>
        <w:pStyle w:val="1011"/>
        <w:ind w:firstLine="422"/>
        <w:spacing w:line="400" w:lineRule="exact"/>
        <w:tabs>
          <w:tab w:val="left" w:pos="0" w:leader="none"/>
        </w:tabs>
        <w:rPr>
          <w:rFonts w:ascii="宋体" w:hAnsi="宋体" w:cs="宋体"/>
          <w:b/>
          <w:lang w:val="zh-CN"/>
        </w:rPr>
      </w:pPr>
      <w:r>
        <w:rPr>
          <w:rFonts w:hint="eastAsia" w:ascii="宋体" w:hAnsi="宋体" w:cs="宋体"/>
          <w:b/>
          <w:lang w:val="zh-CN"/>
        </w:rPr>
        <w:t xml:space="preserve">29.2废标条款</w:t>
      </w:r>
      <w:r>
        <w:rPr>
          <w:rFonts w:ascii="宋体" w:hAnsi="宋体" w:cs="宋体"/>
          <w:b/>
          <w:lang w:val="zh-CN"/>
        </w:rPr>
      </w:r>
      <w:r/>
    </w:p>
    <w:p>
      <w:pPr>
        <w:pStyle w:val="1011"/>
        <w:ind w:firstLine="422"/>
        <w:spacing w:line="400" w:lineRule="exact"/>
        <w:tabs>
          <w:tab w:val="left" w:pos="0" w:leader="none"/>
        </w:tabs>
        <w:rPr>
          <w:rFonts w:ascii="宋体" w:hAnsi="宋体" w:cs="宋体"/>
          <w:b/>
          <w:lang w:val="zh-CN"/>
        </w:rPr>
      </w:pPr>
      <w:r>
        <w:rPr>
          <w:rFonts w:hint="eastAsia" w:ascii="宋体" w:hAnsi="宋体" w:cs="宋体"/>
          <w:b/>
          <w:lang w:val="zh-CN"/>
        </w:rPr>
        <w:t xml:space="preserve">29.2.1符合专业条件的供应商或者对招标文件</w:t>
      </w:r>
      <w:r>
        <w:rPr>
          <w:rFonts w:hint="eastAsia" w:ascii="宋体" w:hAnsi="宋体" w:cs="宋体"/>
          <w:b/>
        </w:rPr>
        <w:t xml:space="preserve">作</w:t>
      </w:r>
      <w:r>
        <w:rPr>
          <w:rFonts w:hint="eastAsia" w:ascii="宋体" w:hAnsi="宋体" w:cs="宋体"/>
          <w:b/>
          <w:lang w:val="zh-CN"/>
        </w:rPr>
        <w:t xml:space="preserve">实质响应的供应商不足三家的。</w:t>
      </w:r>
      <w:r>
        <w:rPr>
          <w:rFonts w:ascii="宋体" w:hAnsi="宋体" w:cs="宋体"/>
          <w:b/>
          <w:lang w:val="zh-CN"/>
        </w:rPr>
      </w:r>
      <w:r/>
    </w:p>
    <w:p>
      <w:pPr>
        <w:pStyle w:val="1011"/>
        <w:ind w:firstLine="422"/>
        <w:spacing w:line="400" w:lineRule="exact"/>
        <w:tabs>
          <w:tab w:val="left" w:pos="0" w:leader="none"/>
        </w:tabs>
        <w:rPr>
          <w:rFonts w:ascii="宋体" w:hAnsi="宋体" w:cs="宋体"/>
          <w:b/>
          <w:lang w:val="zh-CN"/>
        </w:rPr>
      </w:pPr>
      <w:r>
        <w:rPr>
          <w:rFonts w:hint="eastAsia" w:ascii="宋体" w:hAnsi="宋体" w:cs="宋体"/>
          <w:b/>
          <w:lang w:val="zh-CN"/>
        </w:rPr>
        <w:t xml:space="preserve">2</w:t>
      </w:r>
      <w:r>
        <w:rPr>
          <w:rFonts w:hint="eastAsia" w:ascii="宋体" w:hAnsi="宋体" w:cs="宋体"/>
          <w:b/>
        </w:rPr>
        <w:t xml:space="preserve">9</w:t>
      </w:r>
      <w:r>
        <w:rPr>
          <w:rFonts w:hint="eastAsia" w:ascii="宋体" w:hAnsi="宋体" w:cs="宋体"/>
          <w:b/>
          <w:lang w:val="zh-CN"/>
        </w:rPr>
        <w:t xml:space="preserve">.2.2出现影响采购公正的违法、违规行为的。</w:t>
      </w:r>
      <w:r>
        <w:rPr>
          <w:rFonts w:ascii="宋体" w:hAnsi="宋体" w:cs="宋体"/>
          <w:b/>
          <w:lang w:val="zh-CN"/>
        </w:rPr>
      </w:r>
      <w:r/>
    </w:p>
    <w:p>
      <w:pPr>
        <w:pStyle w:val="1011"/>
        <w:ind w:firstLine="422"/>
        <w:spacing w:line="400" w:lineRule="exact"/>
        <w:tabs>
          <w:tab w:val="left" w:pos="0" w:leader="none"/>
        </w:tabs>
        <w:rPr>
          <w:rFonts w:ascii="宋体" w:hAnsi="宋体" w:cs="宋体"/>
          <w:b/>
          <w:lang w:val="zh-CN"/>
        </w:rPr>
      </w:pPr>
      <w:r>
        <w:rPr>
          <w:rFonts w:hint="eastAsia" w:ascii="宋体" w:hAnsi="宋体" w:cs="宋体"/>
          <w:b/>
          <w:lang w:val="zh-CN"/>
        </w:rPr>
        <w:t xml:space="preserve">29.2.</w:t>
      </w:r>
      <w:r>
        <w:rPr>
          <w:rFonts w:hint="eastAsia" w:ascii="宋体" w:hAnsi="宋体" w:cs="宋体"/>
          <w:b/>
        </w:rPr>
        <w:t xml:space="preserve">3</w:t>
      </w:r>
      <w:r>
        <w:rPr>
          <w:rFonts w:hint="eastAsia" w:ascii="宋体" w:hAnsi="宋体" w:cs="宋体"/>
          <w:b/>
          <w:lang w:val="zh-CN"/>
        </w:rPr>
        <w:t xml:space="preserve">因重大变故，采购任务取消的。</w:t>
      </w:r>
      <w:r>
        <w:rPr>
          <w:rFonts w:ascii="宋体" w:hAnsi="宋体" w:cs="宋体"/>
          <w:b/>
          <w:lang w:val="zh-CN"/>
        </w:rPr>
      </w:r>
      <w:r/>
    </w:p>
    <w:p>
      <w:pPr>
        <w:pStyle w:val="1011"/>
        <w:ind w:firstLine="422"/>
        <w:spacing w:line="400" w:lineRule="exact"/>
        <w:tabs>
          <w:tab w:val="left" w:pos="0" w:leader="none"/>
        </w:tabs>
        <w:rPr>
          <w:rFonts w:ascii="宋体" w:hAnsi="宋体" w:cs="宋体"/>
          <w:b/>
          <w:lang w:val="zh-CN"/>
        </w:rPr>
      </w:pPr>
      <w:r>
        <w:rPr>
          <w:rFonts w:hint="eastAsia" w:ascii="宋体" w:hAnsi="宋体" w:cs="宋体"/>
          <w:b/>
          <w:lang w:val="zh-CN"/>
        </w:rPr>
        <w:t xml:space="preserve">29.2.</w:t>
      </w:r>
      <w:r>
        <w:rPr>
          <w:rFonts w:hint="eastAsia" w:ascii="宋体" w:hAnsi="宋体" w:cs="宋体"/>
          <w:b/>
        </w:rPr>
        <w:t xml:space="preserve">4</w:t>
      </w:r>
      <w:r>
        <w:rPr>
          <w:rFonts w:hint="eastAsia" w:ascii="宋体" w:hAnsi="宋体" w:cs="宋体"/>
          <w:b/>
          <w:lang w:val="zh-CN"/>
        </w:rPr>
        <w:t xml:space="preserve">评标委员会认定招标文件存在歧义、重大缺陷导致评审工作无法进行。</w:t>
      </w:r>
      <w:r>
        <w:rPr>
          <w:rFonts w:ascii="宋体" w:hAnsi="宋体" w:cs="宋体"/>
          <w:b/>
          <w:lang w:val="zh-CN"/>
        </w:rPr>
      </w:r>
      <w:r/>
    </w:p>
    <w:p>
      <w:pPr>
        <w:pStyle w:val="1011"/>
        <w:ind w:firstLine="422"/>
        <w:spacing w:line="400" w:lineRule="exact"/>
        <w:tabs>
          <w:tab w:val="left" w:pos="0" w:leader="none"/>
        </w:tabs>
        <w:rPr>
          <w:rFonts w:ascii="宋体" w:hAnsi="宋体" w:cs="宋体"/>
          <w:b/>
          <w:lang w:val="zh-CN"/>
        </w:rPr>
      </w:pPr>
      <w:r>
        <w:rPr>
          <w:rFonts w:hint="eastAsia" w:ascii="宋体" w:hAnsi="宋体" w:cs="宋体"/>
          <w:b/>
          <w:lang w:val="zh-CN"/>
        </w:rPr>
        <w:t xml:space="preserve">29.2.</w:t>
      </w:r>
      <w:r>
        <w:rPr>
          <w:rFonts w:hint="eastAsia" w:ascii="宋体" w:hAnsi="宋体" w:cs="宋体"/>
          <w:b/>
        </w:rPr>
        <w:t xml:space="preserve">5</w:t>
      </w:r>
      <w:r>
        <w:rPr>
          <w:rFonts w:hint="eastAsia" w:ascii="宋体" w:hAnsi="宋体" w:cs="宋体"/>
          <w:b/>
          <w:lang w:val="zh-CN"/>
        </w:rPr>
        <w:t xml:space="preserve">因苏采云系统故障原因造成开标不成功的。</w:t>
      </w:r>
      <w:r>
        <w:rPr>
          <w:rFonts w:ascii="宋体" w:hAnsi="宋体" w:cs="宋体"/>
          <w:b/>
          <w:lang w:val="zh-CN"/>
        </w:rPr>
      </w:r>
      <w:r/>
    </w:p>
    <w:p>
      <w:pPr>
        <w:pStyle w:val="1011"/>
        <w:ind w:firstLine="422"/>
        <w:spacing w:line="400" w:lineRule="exact"/>
        <w:tabs>
          <w:tab w:val="left" w:pos="0" w:leader="none"/>
        </w:tabs>
        <w:rPr>
          <w:rFonts w:ascii="宋体" w:hAnsi="宋体" w:cs="宋体"/>
          <w:b/>
          <w:lang w:val="zh-CN"/>
        </w:rPr>
      </w:pPr>
      <w:r>
        <w:rPr>
          <w:rFonts w:hint="eastAsia" w:ascii="宋体" w:hAnsi="宋体" w:cs="宋体"/>
          <w:b/>
          <w:lang w:val="zh-CN"/>
        </w:rPr>
        <w:t xml:space="preserve">29.3 投标截止时间结束后参加投标的供应商不足三家的处理：</w:t>
      </w:r>
      <w:r>
        <w:rPr>
          <w:rFonts w:ascii="宋体" w:hAnsi="宋体" w:cs="宋体"/>
          <w:b/>
          <w:lang w:val="zh-CN"/>
        </w:rPr>
      </w:r>
      <w:r/>
    </w:p>
    <w:p>
      <w:pPr>
        <w:pStyle w:val="1011"/>
        <w:ind w:firstLine="422"/>
        <w:spacing w:line="400" w:lineRule="exact"/>
        <w:tabs>
          <w:tab w:val="left" w:pos="0" w:leader="none"/>
        </w:tabs>
        <w:rPr>
          <w:rFonts w:ascii="宋体" w:hAnsi="宋体" w:cs="宋体"/>
          <w:b/>
          <w:lang w:val="zh-CN"/>
        </w:rPr>
      </w:pPr>
      <w:r>
        <w:rPr>
          <w:rFonts w:hint="eastAsia" w:ascii="宋体" w:hAnsi="宋体" w:cs="宋体"/>
          <w:b/>
          <w:lang w:val="zh-CN"/>
        </w:rPr>
        <w:t xml:space="preserve">29.3.1如出现投标截止时间结束后参加投标的供应商或者在评标期间对招标文件做出实质响应的供应商不足三家情况，按政府采购相关规定执行。</w:t>
      </w:r>
      <w:r>
        <w:rPr>
          <w:rFonts w:ascii="宋体" w:hAnsi="宋体" w:cs="宋体"/>
          <w:b/>
          <w:lang w:val="zh-CN"/>
        </w:rPr>
      </w:r>
      <w:r/>
    </w:p>
    <w:p>
      <w:pPr>
        <w:pStyle w:val="1011"/>
        <w:ind w:firstLine="422"/>
        <w:spacing w:line="360" w:lineRule="auto"/>
        <w:rPr>
          <w:b/>
          <w:lang w:val="zh-CN"/>
        </w:rPr>
      </w:pPr>
      <w:r>
        <w:rPr>
          <w:b/>
          <w:lang w:val="zh-CN"/>
        </w:rPr>
      </w:r>
      <w:r/>
    </w:p>
    <w:p>
      <w:pPr>
        <w:pStyle w:val="1011"/>
        <w:ind w:firstLine="422"/>
        <w:spacing w:line="360" w:lineRule="auto"/>
        <w:rPr>
          <w:b/>
          <w:lang w:val="zh-CN"/>
        </w:rPr>
      </w:pPr>
      <w:r>
        <w:rPr>
          <w:b/>
          <w:lang w:val="zh-CN"/>
        </w:rPr>
        <w:t xml:space="preserve">30.投标文件的评价和比较</w:t>
      </w:r>
      <w:r/>
    </w:p>
    <w:p>
      <w:pPr>
        <w:pStyle w:val="1011"/>
        <w:ind w:firstLine="420"/>
        <w:spacing w:line="400" w:lineRule="exact"/>
        <w:rPr>
          <w:rFonts w:ascii="宋体" w:hAnsi="宋体" w:cs="宋体"/>
          <w:b/>
          <w:bCs/>
        </w:rPr>
      </w:pPr>
      <w:r/>
      <w:bookmarkStart w:id="68" w:name="_Toc18442"/>
      <w:r/>
      <w:bookmarkStart w:id="69" w:name="_Toc19501"/>
      <w:r>
        <w:rPr>
          <w:rFonts w:hint="eastAsia" w:ascii="宋体" w:hAnsi="宋体" w:cs="宋体"/>
          <w:lang w:val="zh-CN"/>
        </w:rPr>
        <w:t xml:space="preserve">30.1评标委员会将仅对</w:t>
      </w:r>
      <w:r>
        <w:rPr>
          <w:rFonts w:hint="eastAsia" w:ascii="宋体" w:hAnsi="宋体" w:cs="宋体"/>
        </w:rPr>
        <w:t xml:space="preserve">满足</w:t>
      </w:r>
      <w:r>
        <w:rPr>
          <w:rFonts w:hint="eastAsia" w:ascii="宋体" w:hAnsi="宋体" w:cs="宋体"/>
          <w:lang w:val="zh-CN"/>
        </w:rPr>
        <w:t xml:space="preserve">采购文件</w:t>
      </w:r>
      <w:r>
        <w:rPr>
          <w:rFonts w:hint="eastAsia" w:ascii="宋体" w:hAnsi="宋体" w:cs="宋体"/>
        </w:rPr>
        <w:t xml:space="preserve">实质性</w:t>
      </w:r>
      <w:r>
        <w:rPr>
          <w:rFonts w:hint="eastAsia" w:ascii="宋体" w:hAnsi="宋体" w:cs="宋体"/>
          <w:lang w:val="zh-CN"/>
        </w:rPr>
        <w:t xml:space="preserve">要求的电子投标文件进行评价和比较。</w:t>
      </w:r>
      <w:r>
        <w:rPr>
          <w:rFonts w:ascii="宋体" w:hAnsi="宋体" w:cs="宋体"/>
          <w:b/>
          <w:bCs/>
        </w:rPr>
      </w:r>
      <w:r/>
    </w:p>
    <w:p>
      <w:pPr>
        <w:pStyle w:val="1011"/>
        <w:ind w:firstLine="420"/>
        <w:spacing w:line="400" w:lineRule="exact"/>
        <w:rPr>
          <w:rFonts w:ascii="宋体" w:hAnsi="宋体" w:cs="宋体"/>
          <w:b/>
          <w:bCs/>
        </w:rPr>
      </w:pPr>
      <w:r>
        <w:rPr>
          <w:rFonts w:hint="eastAsia" w:ascii="宋体" w:hAnsi="宋体" w:cs="宋体"/>
        </w:rPr>
        <w:t xml:space="preserve">30</w:t>
      </w:r>
      <w:r>
        <w:rPr>
          <w:rFonts w:hint="eastAsia" w:ascii="宋体" w:hAnsi="宋体" w:cs="宋体"/>
          <w:lang w:val="zh-CN"/>
        </w:rPr>
        <w:t xml:space="preserve">.2评价和比较采用综合评分法，评标委员会严格按照采购文件的规定要求、条件、评分标准，对投标人所提供货物或服务的先进性、可靠性、售后服务承诺、质量保证承诺等实质性响应内容进行比较评价。</w:t>
      </w:r>
      <w:r>
        <w:rPr>
          <w:rFonts w:ascii="宋体" w:hAnsi="宋体" w:cs="宋体"/>
          <w:b/>
          <w:bCs/>
        </w:rPr>
      </w:r>
      <w:r/>
    </w:p>
    <w:p>
      <w:pPr>
        <w:pStyle w:val="1011"/>
        <w:ind w:firstLine="420"/>
        <w:spacing w:line="400" w:lineRule="exact"/>
        <w:rPr>
          <w:rFonts w:ascii="宋体" w:hAnsi="宋体" w:cs="宋体"/>
          <w:lang w:val="zh-CN"/>
        </w:rPr>
      </w:pPr>
      <w:r>
        <w:rPr>
          <w:rFonts w:hint="eastAsia" w:ascii="宋体" w:hAnsi="宋体" w:cs="宋体"/>
          <w:lang w:val="zh-CN"/>
        </w:rPr>
        <w:t xml:space="preserve">30.3 最低的投标报价或最高的折扣比例是中标的重要条件，但不是唯一条件。</w:t>
      </w:r>
      <w:r>
        <w:rPr>
          <w:rFonts w:ascii="宋体" w:hAnsi="宋体" w:cs="宋体"/>
          <w:lang w:val="zh-CN"/>
        </w:rPr>
      </w:r>
      <w:r/>
    </w:p>
    <w:p>
      <w:pPr>
        <w:pStyle w:val="1011"/>
        <w:ind w:firstLine="422"/>
        <w:spacing w:line="360" w:lineRule="auto"/>
        <w:rPr>
          <w:lang w:val="zh-CN"/>
        </w:rPr>
      </w:pPr>
      <w:r>
        <w:rPr>
          <w:b/>
          <w:lang w:val="zh-CN"/>
        </w:rPr>
        <w:t xml:space="preserve">七、授予合同</w:t>
      </w:r>
      <w:bookmarkEnd w:id="68"/>
      <w:r/>
      <w:bookmarkEnd w:id="69"/>
      <w:r>
        <w:rPr>
          <w:lang w:val="zh-CN"/>
        </w:rPr>
      </w:r>
      <w:r/>
    </w:p>
    <w:p>
      <w:pPr>
        <w:pStyle w:val="1011"/>
        <w:ind w:firstLine="422"/>
        <w:spacing w:line="360" w:lineRule="auto"/>
        <w:rPr>
          <w:lang w:val="zh-CN"/>
        </w:rPr>
      </w:pPr>
      <w:r>
        <w:rPr>
          <w:b/>
          <w:lang w:val="zh-CN"/>
        </w:rPr>
        <w:t xml:space="preserve">31.中标单位的确认</w:t>
      </w:r>
      <w:r>
        <w:rPr>
          <w:lang w:val="zh-CN"/>
        </w:rPr>
      </w:r>
      <w:r/>
    </w:p>
    <w:p>
      <w:pPr>
        <w:pStyle w:val="1011"/>
        <w:ind w:firstLine="420"/>
        <w:spacing w:line="400" w:lineRule="exact"/>
        <w:rPr>
          <w:rFonts w:ascii="宋体" w:hAnsi="宋体" w:cs="宋体"/>
          <w:lang w:val="zh-CN"/>
        </w:rPr>
      </w:pPr>
      <w:r>
        <w:rPr>
          <w:lang w:val="zh-CN"/>
        </w:rPr>
        <w:t xml:space="preserve">31.1</w:t>
      </w:r>
      <w:r>
        <w:rPr>
          <w:rFonts w:hint="eastAsia" w:ascii="宋体" w:hAnsi="宋体" w:cs="宋体"/>
          <w:lang w:val="zh-CN"/>
        </w:rPr>
        <w:t xml:space="preserve">评标委员会按照评标办法和标准对合格投标人的电子投标文件进行评价和比较、打分，并确定中标人。</w:t>
      </w:r>
      <w:r>
        <w:rPr>
          <w:rFonts w:ascii="宋体" w:hAnsi="宋体" w:cs="宋体"/>
          <w:lang w:val="zh-CN"/>
        </w:rPr>
      </w:r>
      <w:r/>
    </w:p>
    <w:p>
      <w:pPr>
        <w:pStyle w:val="1011"/>
        <w:ind w:firstLine="420"/>
        <w:spacing w:line="400" w:lineRule="exact"/>
        <w:rPr>
          <w:rFonts w:ascii="宋体" w:hAnsi="宋体" w:cs="宋体"/>
          <w:lang w:val="zh-CN"/>
        </w:rPr>
      </w:pPr>
      <w:r>
        <w:rPr>
          <w:lang w:val="zh-CN"/>
        </w:rPr>
        <w:t xml:space="preserve">31.</w:t>
      </w:r>
      <w:r>
        <w:rPr>
          <w:rFonts w:hint="eastAsia"/>
          <w:lang w:val="zh-CN"/>
        </w:rPr>
        <w:t xml:space="preserve">2</w:t>
      </w:r>
      <w:r>
        <w:rPr>
          <w:rFonts w:hint="eastAsia" w:ascii="宋体" w:hAnsi="宋体" w:cs="宋体"/>
          <w:lang w:val="zh-CN"/>
        </w:rPr>
        <w:t xml:space="preserve">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和盖公章（原件），采购代理机构有权对该质疑不予答复。</w:t>
      </w:r>
      <w:r>
        <w:rPr>
          <w:rFonts w:ascii="宋体" w:hAnsi="宋体" w:cs="宋体"/>
          <w:lang w:val="zh-CN"/>
        </w:rPr>
      </w:r>
      <w:r/>
    </w:p>
    <w:p>
      <w:pPr>
        <w:pStyle w:val="1011"/>
        <w:ind w:firstLine="422"/>
        <w:spacing w:line="360" w:lineRule="auto"/>
        <w:rPr>
          <w:b/>
          <w:lang w:val="zh-CN"/>
        </w:rPr>
      </w:pPr>
      <w:r>
        <w:rPr>
          <w:b/>
          <w:lang w:val="zh-CN"/>
        </w:rPr>
        <w:t xml:space="preserve">32.合同授予标准</w:t>
      </w:r>
      <w:r/>
    </w:p>
    <w:p>
      <w:pPr>
        <w:pStyle w:val="1011"/>
        <w:ind w:firstLine="420"/>
        <w:spacing w:line="360" w:lineRule="auto"/>
        <w:rPr>
          <w:lang w:val="zh-CN"/>
        </w:rPr>
      </w:pPr>
      <w:r>
        <w:rPr>
          <w:lang w:val="zh-CN"/>
        </w:rPr>
        <w:t xml:space="preserve">采购人将把合同授予其投标文件在实质上响应投标招标文件要求且按本须知规定评选出的投标人。确定为中标的投标人必须具有实施本合同的能力和资源。</w:t>
      </w:r>
      <w:r/>
    </w:p>
    <w:p>
      <w:pPr>
        <w:pStyle w:val="1011"/>
        <w:ind w:firstLine="422"/>
        <w:spacing w:line="360" w:lineRule="auto"/>
        <w:rPr>
          <w:b/>
          <w:lang w:val="zh-CN"/>
        </w:rPr>
      </w:pPr>
      <w:r>
        <w:rPr>
          <w:b/>
          <w:lang w:val="zh-CN"/>
        </w:rPr>
        <w:t xml:space="preserve">33.中标通知书</w:t>
      </w:r>
      <w:r/>
    </w:p>
    <w:p>
      <w:pPr>
        <w:pStyle w:val="1011"/>
        <w:ind w:firstLine="420"/>
        <w:spacing w:line="400" w:lineRule="exact"/>
        <w:rPr>
          <w:rFonts w:ascii="宋体" w:hAnsi="宋体" w:cs="宋体"/>
          <w:lang w:val="zh-CN"/>
        </w:rPr>
      </w:pPr>
      <w:r>
        <w:rPr>
          <w:lang w:val="zh-CN"/>
        </w:rPr>
        <w:t xml:space="preserve">33.1</w:t>
      </w:r>
      <w:r>
        <w:rPr>
          <w:rFonts w:hint="eastAsia" w:ascii="宋体" w:hAnsi="宋体" w:cs="宋体"/>
          <w:lang w:val="zh-CN"/>
        </w:rPr>
        <w:t xml:space="preserve">确定中标人后，采购代理机构将在规定的时间内以书面形式通知中标人其投标被接受。在中标通知书中明确中标人的中标标价、交货时间、质量标准和有关合同签订的日期和地点。</w:t>
      </w:r>
      <w:r>
        <w:rPr>
          <w:rFonts w:ascii="宋体" w:hAnsi="宋体" w:cs="宋体"/>
          <w:lang w:val="zh-CN"/>
        </w:rPr>
      </w:r>
      <w:r/>
    </w:p>
    <w:p>
      <w:pPr>
        <w:pStyle w:val="1011"/>
        <w:ind w:firstLine="420"/>
        <w:spacing w:line="360" w:lineRule="auto"/>
        <w:rPr>
          <w:b/>
          <w:lang w:val="zh-CN"/>
        </w:rPr>
      </w:pPr>
      <w:r>
        <w:rPr>
          <w:b/>
          <w:lang w:val="zh-CN"/>
        </w:rPr>
      </w:r>
      <w:r/>
    </w:p>
    <w:p>
      <w:pPr>
        <w:pStyle w:val="1011"/>
        <w:ind w:firstLine="420"/>
        <w:spacing w:line="360" w:lineRule="auto"/>
        <w:rPr>
          <w:lang w:val="zh-CN"/>
        </w:rPr>
      </w:pPr>
      <w:r>
        <w:rPr>
          <w:lang w:val="zh-CN"/>
        </w:rPr>
        <w:t xml:space="preserve">33.2中标通知书将成为合同的组成部分，对采购人和中标人具有同等法律效力。</w:t>
      </w:r>
      <w:r/>
    </w:p>
    <w:p>
      <w:pPr>
        <w:pStyle w:val="1011"/>
        <w:ind w:firstLine="420"/>
        <w:spacing w:line="360" w:lineRule="auto"/>
        <w:rPr>
          <w:rFonts w:ascii="宋体" w:hAnsi="宋体" w:cs="宋体"/>
          <w:lang w:val="zh-CN"/>
        </w:rPr>
      </w:pPr>
      <w:r>
        <w:rPr>
          <w:lang w:val="zh-CN"/>
        </w:rPr>
        <w:t xml:space="preserve">34.3</w:t>
      </w:r>
      <w:r>
        <w:rPr>
          <w:rFonts w:hint="eastAsia" w:ascii="宋体" w:hAnsi="宋体" w:cs="宋体"/>
          <w:lang w:val="zh-CN"/>
        </w:rPr>
        <w:t xml:space="preserve">采购代理机构对未中标人不承担解释未中标原因的义务。</w:t>
      </w:r>
      <w:r>
        <w:rPr>
          <w:rFonts w:ascii="宋体" w:hAnsi="宋体" w:cs="宋体"/>
          <w:lang w:val="zh-CN"/>
        </w:rPr>
      </w:r>
      <w:r/>
    </w:p>
    <w:p>
      <w:pPr>
        <w:pStyle w:val="1011"/>
        <w:ind w:firstLine="420"/>
        <w:spacing w:line="360" w:lineRule="auto"/>
        <w:rPr>
          <w:b/>
          <w:lang w:val="zh-CN"/>
        </w:rPr>
      </w:pPr>
      <w:r>
        <w:rPr>
          <w:b/>
          <w:lang w:val="zh-CN"/>
        </w:rPr>
        <w:t xml:space="preserve">34.合同的签订</w:t>
      </w:r>
      <w:r/>
    </w:p>
    <w:p>
      <w:pPr>
        <w:pStyle w:val="1011"/>
        <w:ind w:firstLine="420"/>
        <w:spacing w:line="360" w:lineRule="auto"/>
        <w:rPr>
          <w:rFonts w:ascii="宋体" w:hAnsi="宋体" w:cs="宋体"/>
          <w:lang w:val="zh-CN"/>
        </w:rPr>
      </w:pPr>
      <w:r>
        <w:rPr>
          <w:lang w:val="zh-CN"/>
        </w:rPr>
        <w:t xml:space="preserve">34.1</w:t>
      </w:r>
      <w:r>
        <w:rPr>
          <w:rFonts w:hint="eastAsia" w:ascii="宋体" w:hAnsi="宋体" w:cs="宋体"/>
          <w:lang w:val="zh-CN"/>
        </w:rPr>
        <w:t xml:space="preserve">中标人应按中标通知书中规定的时间和地点与采购人签订政府采购合同。</w:t>
      </w:r>
      <w:r>
        <w:rPr>
          <w:rFonts w:ascii="宋体" w:hAnsi="宋体" w:cs="宋体"/>
          <w:lang w:val="zh-CN"/>
        </w:rPr>
      </w:r>
      <w:r/>
    </w:p>
    <w:p>
      <w:pPr>
        <w:pStyle w:val="1011"/>
        <w:ind w:firstLine="420"/>
        <w:spacing w:line="400" w:lineRule="exact"/>
        <w:rPr>
          <w:rFonts w:ascii="宋体" w:hAnsi="宋体" w:cs="宋体"/>
          <w:lang w:val="zh-CN"/>
        </w:rPr>
      </w:pPr>
      <w:r>
        <w:rPr>
          <w:lang w:val="zh-CN"/>
        </w:rPr>
        <w:t xml:space="preserve">34.2</w:t>
      </w:r>
      <w:r>
        <w:rPr>
          <w:rFonts w:hint="eastAsia" w:ascii="宋体" w:hAnsi="宋体" w:cs="宋体"/>
          <w:lang w:val="zh-CN"/>
        </w:rPr>
        <w:t xml:space="preserve">签订的合同及合同条款应以采购文件和中标人的电子投标文件及其澄清文件为依据。</w:t>
      </w:r>
      <w:r>
        <w:rPr>
          <w:rFonts w:ascii="宋体" w:hAnsi="宋体" w:cs="宋体"/>
          <w:lang w:val="zh-CN"/>
        </w:rPr>
      </w:r>
      <w:r/>
    </w:p>
    <w:p>
      <w:pPr>
        <w:pStyle w:val="1011"/>
        <w:ind w:left="39" w:right="178" w:firstLine="434"/>
        <w:spacing w:before="216" w:line="360" w:lineRule="auto"/>
        <w:rPr>
          <w:rFonts w:ascii="宋体" w:hAnsi="宋体" w:cs="宋体"/>
          <w:lang w:val="zh-CN"/>
        </w:rPr>
      </w:pPr>
      <w:r>
        <w:rPr>
          <w:lang w:val="zh-CN"/>
        </w:rPr>
        <w:t xml:space="preserve">34.3</w:t>
      </w:r>
      <w:r>
        <w:rPr>
          <w:rFonts w:hint="eastAsia" w:ascii="宋体" w:hAnsi="宋体" w:cs="宋体"/>
          <w:lang w:val="zh-CN"/>
        </w:rPr>
        <w:t xml:space="preserve">中标人无正当理由不得放弃中标。</w:t>
      </w:r>
      <w:r>
        <w:rPr>
          <w:rFonts w:ascii="宋体" w:hAnsi="宋体" w:cs="宋体"/>
          <w:lang w:val="zh-CN"/>
        </w:rPr>
      </w:r>
      <w:r/>
    </w:p>
    <w:p>
      <w:pPr>
        <w:pStyle w:val="1011"/>
        <w:ind w:left="39" w:right="178" w:firstLine="434"/>
        <w:spacing w:before="216" w:line="360" w:lineRule="auto"/>
        <w:rPr>
          <w:rFonts w:ascii="宋体" w:hAnsi="宋体" w:cs="宋体"/>
          <w:b/>
          <w:bCs/>
        </w:rPr>
      </w:pPr>
      <w:r>
        <w:rPr>
          <w:rFonts w:hint="eastAsia" w:ascii="宋体" w:hAnsi="宋体" w:cs="宋体"/>
          <w:b/>
          <w:bCs/>
        </w:rPr>
        <w:t xml:space="preserve">35、履约保证金</w:t>
      </w:r>
      <w:r>
        <w:rPr>
          <w:rFonts w:ascii="宋体" w:hAnsi="宋体" w:cs="宋体"/>
          <w:b/>
          <w:bCs/>
        </w:rPr>
      </w:r>
      <w:r/>
    </w:p>
    <w:p>
      <w:pPr>
        <w:pStyle w:val="1011"/>
        <w:ind w:left="39" w:right="178" w:firstLine="434"/>
        <w:spacing w:before="216" w:line="360" w:lineRule="auto"/>
        <w:rPr>
          <w:rFonts w:ascii="宋体" w:hAnsi="宋体" w:cs="宋体"/>
          <w:lang w:val="zh-CN"/>
        </w:rPr>
      </w:pPr>
      <w:r>
        <w:rPr>
          <w:rFonts w:ascii="宋体" w:hAnsi="宋体" w:cs="宋体"/>
          <w:lang w:val="zh-CN"/>
        </w:rPr>
        <w:t xml:space="preserve">乙方应在签订合同前以履约保函的形式向甲方提交合同价百分之</w:t>
      </w:r>
      <w:r>
        <w:rPr>
          <w:rFonts w:hint="eastAsia" w:ascii="宋体" w:hAnsi="宋体" w:cs="宋体"/>
          <w:lang w:val="zh-CN"/>
        </w:rPr>
        <w:t xml:space="preserve">五</w:t>
      </w:r>
      <w:r>
        <w:rPr>
          <w:rFonts w:ascii="宋体" w:hAnsi="宋体" w:cs="宋体"/>
          <w:lang w:val="zh-CN"/>
        </w:rPr>
        <w:t xml:space="preserve">的履约保证金。履约保证金在服务期满且服务缺陷更正后，并配合甲方和新中标单位办理移交手续后一个月内无息退还。</w:t>
      </w:r>
      <w:r/>
    </w:p>
    <w:p>
      <w:pPr>
        <w:pStyle w:val="1011"/>
        <w:ind w:firstLine="420"/>
        <w:spacing w:line="360" w:lineRule="auto"/>
        <w:rPr>
          <w:lang w:val="zh-CN"/>
        </w:rPr>
      </w:pPr>
      <w:r>
        <w:rPr>
          <w:lang w:val="zh-CN"/>
        </w:rPr>
      </w:r>
      <w:r/>
    </w:p>
    <w:p>
      <w:pPr>
        <w:pStyle w:val="1011"/>
        <w:ind w:firstLine="422"/>
        <w:spacing w:line="360" w:lineRule="auto"/>
        <w:rPr>
          <w:lang w:val="zh-CN"/>
        </w:rPr>
      </w:pPr>
      <w:r>
        <w:rPr>
          <w:b/>
          <w:lang w:val="zh-CN"/>
        </w:rPr>
        <w:t xml:space="preserve">八、其他事项</w:t>
      </w:r>
      <w:r>
        <w:rPr>
          <w:lang w:val="zh-CN"/>
        </w:rPr>
      </w:r>
      <w:r/>
    </w:p>
    <w:p>
      <w:pPr>
        <w:pStyle w:val="1011"/>
        <w:ind w:firstLine="422"/>
        <w:spacing w:line="360" w:lineRule="auto"/>
        <w:rPr>
          <w:lang w:val="zh-CN"/>
        </w:rPr>
      </w:pPr>
      <w:r>
        <w:rPr>
          <w:b/>
          <w:lang w:val="zh-CN"/>
        </w:rPr>
        <w:t xml:space="preserve">3</w:t>
      </w:r>
      <w:r>
        <w:rPr>
          <w:rFonts w:hint="eastAsia"/>
          <w:b/>
          <w:lang w:val="zh-CN"/>
        </w:rPr>
        <w:t xml:space="preserve">6</w:t>
      </w:r>
      <w:r>
        <w:rPr>
          <w:b/>
          <w:lang w:val="zh-CN"/>
        </w:rPr>
        <w:t xml:space="preserve">.代理服务费：</w:t>
      </w:r>
      <w:r>
        <w:rPr>
          <w:lang w:val="zh-CN"/>
        </w:rPr>
      </w:r>
      <w:r/>
    </w:p>
    <w:p>
      <w:pPr>
        <w:pStyle w:val="1011"/>
        <w:ind w:firstLine="422"/>
        <w:spacing w:line="360" w:lineRule="auto"/>
        <w:rPr>
          <w:lang w:val="zh-CN"/>
        </w:rPr>
      </w:pPr>
      <w:r/>
      <w:bookmarkStart w:id="70" w:name="OLE_LINK54"/>
      <w:r>
        <w:rPr>
          <w:rFonts w:hint="eastAsia" w:ascii="宋体" w:hAnsi="宋体" w:cs="宋体"/>
        </w:rPr>
        <w:t xml:space="preserve">36.1</w:t>
      </w:r>
      <w:r>
        <w:rPr>
          <w:rFonts w:hint="eastAsia" w:ascii="宋体" w:hAnsi="宋体" w:cs="宋体"/>
          <w:spacing w:val="2"/>
        </w:rPr>
        <w:t xml:space="preserve">招标代理服务费以采购预算金额为基数依据，按如下</w:t>
      </w:r>
      <w:r>
        <w:rPr>
          <w:rFonts w:hint="eastAsia" w:ascii="宋体" w:hAnsi="宋体" w:cs="宋体"/>
          <w:spacing w:val="1"/>
        </w:rPr>
        <w:t xml:space="preserve">规定的标准和差额定率累进法进行计算收</w:t>
      </w:r>
      <w:r>
        <w:rPr>
          <w:rFonts w:hint="eastAsia" w:ascii="宋体" w:hAnsi="宋体" w:cs="宋体"/>
          <w:spacing w:val="-9"/>
        </w:rPr>
        <w:t xml:space="preserve">取：</w:t>
      </w:r>
      <w:r>
        <w:rPr>
          <w:rFonts w:hint="eastAsia"/>
          <w:color w:val="000000"/>
          <w:spacing w:val="-4"/>
        </w:rPr>
        <w:t xml:space="preserve">预算金额</w:t>
      </w:r>
      <w:r>
        <w:rPr>
          <w:color w:val="000000"/>
          <w:spacing w:val="-4"/>
        </w:rPr>
        <w:t xml:space="preserve">100</w:t>
      </w:r>
      <w:r>
        <w:rPr>
          <w:rFonts w:hint="eastAsia"/>
          <w:color w:val="000000"/>
          <w:spacing w:val="-4"/>
        </w:rPr>
        <w:t xml:space="preserve">万元（含）以下部分，费率为</w:t>
      </w:r>
      <w:r>
        <w:rPr>
          <w:rFonts w:hint="eastAsia"/>
          <w:color w:val="000000"/>
          <w:spacing w:val="-3"/>
        </w:rPr>
        <w:t xml:space="preserve">该部分预算金额的</w:t>
      </w:r>
      <w:r>
        <w:rPr>
          <w:color w:val="000000"/>
          <w:spacing w:val="-3"/>
        </w:rPr>
        <w:t xml:space="preserve">1.5%</w:t>
      </w:r>
      <w:r>
        <w:rPr>
          <w:rFonts w:hint="eastAsia"/>
          <w:color w:val="000000"/>
          <w:spacing w:val="-3"/>
        </w:rPr>
        <w:t xml:space="preserve">；预算金额</w:t>
      </w:r>
      <w:r>
        <w:rPr>
          <w:color w:val="000000"/>
          <w:spacing w:val="-3"/>
        </w:rPr>
        <w:t xml:space="preserve">100</w:t>
      </w:r>
      <w:r>
        <w:rPr>
          <w:rFonts w:hint="eastAsia"/>
          <w:color w:val="000000"/>
          <w:spacing w:val="-3"/>
        </w:rPr>
        <w:t xml:space="preserve">万元－</w:t>
      </w:r>
      <w:r>
        <w:rPr>
          <w:color w:val="000000"/>
          <w:spacing w:val="-3"/>
        </w:rPr>
        <w:t xml:space="preserve">500</w:t>
      </w:r>
      <w:r>
        <w:rPr>
          <w:rFonts w:hint="eastAsia"/>
          <w:color w:val="000000"/>
          <w:spacing w:val="-3"/>
        </w:rPr>
        <w:t xml:space="preserve">万元（</w:t>
      </w:r>
      <w:r>
        <w:rPr>
          <w:rFonts w:hint="eastAsia"/>
          <w:color w:val="000000"/>
          <w:spacing w:val="-4"/>
        </w:rPr>
        <w:t xml:space="preserve">含）部分，费率为该部分预算金额的</w:t>
      </w:r>
      <w:r>
        <w:rPr>
          <w:color w:val="000000"/>
          <w:spacing w:val="-4"/>
        </w:rPr>
        <w:t xml:space="preserve">1.1%</w:t>
      </w:r>
      <w:r>
        <w:rPr>
          <w:rFonts w:hint="eastAsia"/>
          <w:color w:val="000000"/>
          <w:spacing w:val="-4"/>
        </w:rPr>
        <w:t xml:space="preserve">，</w:t>
      </w:r>
      <w:r>
        <w:rPr>
          <w:rFonts w:hint="eastAsia"/>
          <w:color w:val="000000"/>
          <w:spacing w:val="-3"/>
        </w:rPr>
        <w:t xml:space="preserve">预算金额</w:t>
      </w:r>
      <w:r>
        <w:rPr>
          <w:color w:val="000000"/>
          <w:spacing w:val="-4"/>
        </w:rPr>
        <w:t xml:space="preserve">500~1000</w:t>
      </w:r>
      <w:r>
        <w:rPr>
          <w:rFonts w:hint="eastAsia"/>
          <w:color w:val="000000"/>
          <w:spacing w:val="-4"/>
        </w:rPr>
        <w:t xml:space="preserve">万元（含）部分，费率为该部分预算金额的</w:t>
      </w:r>
      <w:r>
        <w:rPr>
          <w:color w:val="000000"/>
          <w:spacing w:val="-4"/>
        </w:rPr>
        <w:t xml:space="preserve">0.8%</w:t>
      </w:r>
      <w:r>
        <w:rPr>
          <w:rFonts w:hint="eastAsia"/>
          <w:color w:val="000000"/>
          <w:spacing w:val="-4"/>
        </w:rPr>
        <w:t xml:space="preserve">，；本项目招标代理服务费为</w:t>
      </w:r>
      <w:bookmarkStart w:id="71" w:name="OLE_LINK9"/>
      <w:r>
        <w:rPr>
          <w:rFonts w:hint="eastAsia"/>
          <w:color w:val="000000"/>
          <w:spacing w:val="-4"/>
        </w:rPr>
        <w:t xml:space="preserve">670</w:t>
      </w:r>
      <w:r>
        <w:rPr>
          <w:rFonts w:hint="eastAsia"/>
          <w:color w:val="000000"/>
          <w:spacing w:val="-4"/>
        </w:rPr>
        <w:t xml:space="preserve">00元</w:t>
      </w:r>
      <w:bookmarkEnd w:id="71"/>
      <w:r>
        <w:rPr>
          <w:rFonts w:hint="eastAsia"/>
          <w:color w:val="000000"/>
          <w:spacing w:val="-4"/>
        </w:rPr>
        <w:t xml:space="preserve">，由中</w:t>
      </w:r>
      <w:r>
        <w:rPr>
          <w:rFonts w:hint="eastAsia"/>
          <w:color w:val="000000"/>
          <w:spacing w:val="-1"/>
        </w:rPr>
        <w:t xml:space="preserve">标或成交供应商在领取中标通知书时向招标代理机构一次性</w:t>
      </w:r>
      <w:r>
        <w:rPr>
          <w:rFonts w:hint="eastAsia"/>
          <w:color w:val="000000"/>
          <w:spacing w:val="-2"/>
        </w:rPr>
        <w:t xml:space="preserve">付清。（此</w:t>
      </w:r>
      <w:r>
        <w:rPr>
          <w:rFonts w:hint="eastAsia"/>
          <w:color w:val="000000"/>
        </w:rPr>
        <w:t xml:space="preserve">招标代理服务费包含在投标报价中，采购人无需支付</w:t>
      </w:r>
      <w:r>
        <w:rPr>
          <w:rFonts w:hint="eastAsia"/>
          <w:color w:val="000000"/>
          <w:spacing w:val="-1"/>
        </w:rPr>
        <w:t xml:space="preserve">任何费用）</w:t>
      </w:r>
      <w:r>
        <w:rPr>
          <w:lang w:val="zh-CN"/>
        </w:rPr>
      </w:r>
      <w:r/>
    </w:p>
    <w:p>
      <w:pPr>
        <w:pStyle w:val="1011"/>
        <w:ind w:left="455"/>
        <w:spacing w:line="360" w:lineRule="auto"/>
        <w:rPr>
          <w:rFonts w:ascii="宋体" w:hAnsi="宋体" w:cs="宋体"/>
        </w:rPr>
      </w:pPr>
      <w:r>
        <w:rPr>
          <w:rFonts w:hint="eastAsia" w:ascii="宋体" w:hAnsi="宋体" w:cs="宋体"/>
          <w:spacing w:val="-1"/>
        </w:rPr>
        <w:t xml:space="preserve">缴纳账户：苏州常发工程咨询有限公司</w:t>
      </w:r>
      <w:r>
        <w:rPr>
          <w:rFonts w:ascii="宋体" w:hAnsi="宋体" w:cs="宋体"/>
        </w:rPr>
      </w:r>
      <w:r/>
    </w:p>
    <w:p>
      <w:pPr>
        <w:pStyle w:val="1011"/>
        <w:ind w:firstLine="420"/>
        <w:spacing w:line="360" w:lineRule="auto"/>
        <w:rPr>
          <w:rFonts w:ascii="宋体" w:hAnsi="宋体" w:cs="宋体"/>
        </w:rPr>
      </w:pPr>
      <w:r>
        <w:rPr>
          <w:rFonts w:hint="eastAsia" w:ascii="宋体" w:hAnsi="宋体" w:cs="宋体"/>
        </w:rPr>
        <w:t xml:space="preserve">账号：536560180118</w:t>
      </w:r>
      <w:r>
        <w:rPr>
          <w:rFonts w:ascii="宋体" w:hAnsi="宋体" w:cs="宋体"/>
        </w:rPr>
      </w:r>
      <w:r/>
    </w:p>
    <w:p>
      <w:pPr>
        <w:pStyle w:val="1011"/>
        <w:ind w:firstLine="420"/>
        <w:spacing w:line="360" w:lineRule="auto"/>
        <w:rPr>
          <w:rFonts w:ascii="宋体" w:hAnsi="宋体" w:cs="宋体"/>
        </w:rPr>
      </w:pPr>
      <w:r>
        <w:rPr>
          <w:rFonts w:hint="eastAsia" w:ascii="宋体" w:hAnsi="宋体" w:cs="宋体"/>
        </w:rPr>
        <w:t xml:space="preserve">开户行：中国银行股份有限公司苏州吴中经济技术开发区支行</w:t>
      </w:r>
      <w:r>
        <w:rPr>
          <w:rFonts w:ascii="宋体" w:hAnsi="宋体" w:cs="宋体"/>
        </w:rPr>
      </w:r>
      <w:r/>
    </w:p>
    <w:p>
      <w:pPr>
        <w:pStyle w:val="1011"/>
        <w:ind w:left="463"/>
        <w:spacing w:before="116" w:line="360" w:lineRule="auto"/>
        <w:rPr>
          <w:rFonts w:ascii="宋体" w:hAnsi="宋体" w:cs="宋体"/>
          <w:color w:val="000000"/>
        </w:rPr>
      </w:pPr>
      <w:r>
        <w:rPr>
          <w:rFonts w:hint="eastAsia" w:ascii="宋体" w:hAnsi="宋体" w:cs="宋体"/>
          <w:color w:val="000000"/>
        </w:rPr>
        <w:t xml:space="preserve">注：汇款单上需注明投标单位名称、标号、金额。</w:t>
      </w:r>
      <w:r>
        <w:rPr>
          <w:rFonts w:ascii="宋体" w:hAnsi="宋体" w:cs="宋体"/>
          <w:color w:val="000000"/>
        </w:rPr>
      </w:r>
      <w:r/>
    </w:p>
    <w:p>
      <w:pPr>
        <w:pStyle w:val="1011"/>
        <w:ind w:firstLine="420"/>
        <w:spacing w:line="360" w:lineRule="auto"/>
        <w:rPr>
          <w:rFonts w:ascii="宋体" w:hAnsi="宋体" w:cs="宋体"/>
        </w:rPr>
      </w:pPr>
      <w:r>
        <w:rPr>
          <w:rFonts w:ascii="宋体" w:hAnsi="宋体" w:cs="宋体"/>
        </w:rPr>
      </w:r>
      <w:r/>
    </w:p>
    <w:p>
      <w:pPr>
        <w:pStyle w:val="1011"/>
        <w:ind w:firstLine="420"/>
        <w:spacing w:line="360" w:lineRule="auto"/>
        <w:rPr>
          <w:rFonts w:ascii="宋体" w:hAnsi="宋体" w:cs="宋体"/>
        </w:rPr>
      </w:pPr>
      <w:r>
        <w:rPr>
          <w:rFonts w:hint="eastAsia" w:ascii="宋体" w:hAnsi="宋体" w:cs="宋体"/>
        </w:rPr>
        <w:t xml:space="preserve">36.2中标单位如果未按规定缴纳</w:t>
      </w:r>
      <w:r>
        <w:rPr>
          <w:rFonts w:hint="eastAsia" w:ascii="宋体" w:hAnsi="宋体" w:cs="宋体"/>
          <w:bCs/>
        </w:rPr>
        <w:t xml:space="preserve">中标</w:t>
      </w:r>
      <w:r>
        <w:rPr>
          <w:rFonts w:hint="eastAsia" w:ascii="宋体" w:hAnsi="宋体" w:cs="宋体"/>
        </w:rPr>
        <w:t xml:space="preserve">服务费，招标采购单位将保留诉讼的权利。</w:t>
      </w:r>
      <w:bookmarkEnd w:id="70"/>
      <w:r>
        <w:rPr>
          <w:rFonts w:ascii="宋体" w:hAnsi="宋体" w:cs="宋体"/>
        </w:rPr>
      </w:r>
      <w:r/>
    </w:p>
    <w:p>
      <w:pPr>
        <w:pStyle w:val="1011"/>
        <w:ind w:firstLine="422"/>
        <w:spacing w:line="360" w:lineRule="auto"/>
        <w:rPr>
          <w:b/>
          <w:lang w:val="zh-CN"/>
        </w:rPr>
      </w:pPr>
      <w:r>
        <w:rPr>
          <w:b/>
          <w:lang w:val="zh-CN"/>
        </w:rPr>
        <w:t xml:space="preserve">3</w:t>
      </w:r>
      <w:r>
        <w:rPr>
          <w:rFonts w:hint="eastAsia"/>
          <w:b/>
          <w:lang w:val="zh-CN"/>
        </w:rPr>
        <w:t xml:space="preserve">7</w:t>
      </w:r>
      <w:r>
        <w:rPr>
          <w:b/>
          <w:lang w:val="zh-CN"/>
        </w:rPr>
        <w:t xml:space="preserve">.有关监督部门将对招投标全过程进行监督。</w:t>
      </w:r>
      <w:r/>
    </w:p>
    <w:p>
      <w:pPr>
        <w:pStyle w:val="1011"/>
        <w:ind w:firstLine="422"/>
        <w:spacing w:line="360" w:lineRule="auto"/>
        <w:rPr>
          <w:lang w:val="zh-CN"/>
        </w:rPr>
        <w:sectPr>
          <w:headerReference w:type="default" r:id="rId8"/>
          <w:footnotePr/>
          <w:endnotePr/>
          <w:type w:val="nextPage"/>
          <w:pgSz w:w="11907" w:h="16839" w:orient="portrait"/>
          <w:pgMar w:top="921" w:right="1057" w:bottom="676" w:left="1104" w:header="601" w:footer="511" w:gutter="0"/>
          <w:pgNumType w:start="9"/>
          <w:cols w:num="1" w:sep="0" w:space="720" w:equalWidth="1"/>
          <w:docGrid w:linePitch="360"/>
        </w:sectPr>
      </w:pPr>
      <w:r>
        <w:rPr>
          <w:b/>
          <w:lang w:val="zh-CN"/>
        </w:rPr>
        <w:t xml:space="preserve">3</w:t>
      </w:r>
      <w:r>
        <w:rPr>
          <w:rFonts w:hint="eastAsia"/>
          <w:b/>
          <w:lang w:val="zh-CN"/>
        </w:rPr>
        <w:t xml:space="preserve">8</w:t>
      </w:r>
      <w:r>
        <w:rPr>
          <w:b/>
          <w:lang w:val="zh-CN"/>
        </w:rPr>
        <w:t xml:space="preserve">.未尽事宜：</w:t>
      </w:r>
      <w:r>
        <w:rPr>
          <w:lang w:val="zh-CN"/>
        </w:rPr>
        <w:t xml:space="preserve">按《中华人民共和国政府采购法》及其他有关的法律法规的规定执行。</w:t>
      </w:r>
      <w:r/>
    </w:p>
    <w:p>
      <w:pPr>
        <w:pStyle w:val="1011"/>
        <w:ind w:left="3341"/>
        <w:spacing w:before="136" w:line="225" w:lineRule="auto"/>
        <w:rPr>
          <w:rFonts w:ascii="宋体" w:hAnsi="宋体" w:cs="宋体"/>
          <w:sz w:val="31"/>
          <w:szCs w:val="31"/>
        </w:rPr>
        <w:outlineLvl w:val="0"/>
      </w:pPr>
      <w:r/>
      <w:bookmarkStart w:id="72" w:name="_Toc212041562"/>
      <w:r>
        <w:rPr>
          <w:rFonts w:ascii="宋体" w:hAnsi="宋体" w:cs="宋体"/>
          <w:b/>
          <w:bCs/>
          <w:spacing w:val="6"/>
          <w:sz w:val="31"/>
          <w:szCs w:val="31"/>
        </w:rPr>
        <w:t xml:space="preserve">第三章投标文件部分格式</w:t>
      </w:r>
      <w:bookmarkEnd w:id="72"/>
      <w:r>
        <w:rPr>
          <w:rFonts w:ascii="宋体" w:hAnsi="宋体" w:cs="宋体"/>
          <w:sz w:val="31"/>
          <w:szCs w:val="31"/>
        </w:rPr>
      </w:r>
      <w:r/>
    </w:p>
    <w:p>
      <w:pPr>
        <w:pStyle w:val="1182"/>
        <w:spacing w:line="309" w:lineRule="auto"/>
      </w:pPr>
      <w:r/>
      <w:r/>
    </w:p>
    <w:p>
      <w:pPr>
        <w:pStyle w:val="1182"/>
        <w:spacing w:line="310" w:lineRule="auto"/>
      </w:pPr>
      <w:r/>
      <w:r/>
    </w:p>
    <w:p>
      <w:pPr>
        <w:pStyle w:val="1011"/>
        <w:ind w:left="39"/>
        <w:spacing w:before="69" w:line="221" w:lineRule="auto"/>
        <w:rPr>
          <w:rFonts w:ascii="宋体" w:hAnsi="宋体" w:cs="宋体"/>
        </w:rPr>
      </w:pPr>
      <w:r>
        <w:rPr>
          <w:rFonts w:ascii="宋体" w:hAnsi="宋体" w:cs="宋体"/>
          <w:b/>
          <w:bCs/>
          <w:spacing w:val="-15"/>
        </w:rPr>
        <w:t xml:space="preserve">说明：</w:t>
      </w:r>
      <w:r>
        <w:rPr>
          <w:rFonts w:ascii="宋体" w:hAnsi="宋体" w:cs="宋体"/>
        </w:rPr>
      </w:r>
      <w:r/>
    </w:p>
    <w:p>
      <w:pPr>
        <w:pStyle w:val="1011"/>
        <w:ind w:left="37" w:right="36" w:firstLine="421"/>
        <w:spacing w:before="217" w:line="413" w:lineRule="auto"/>
        <w:rPr>
          <w:rFonts w:ascii="宋体" w:hAnsi="宋体" w:cs="宋体"/>
        </w:rPr>
      </w:pPr>
      <w:r>
        <w:rPr>
          <w:rFonts w:ascii="宋体" w:hAnsi="宋体" w:cs="宋体"/>
          <w:b/>
          <w:bCs/>
          <w:spacing w:val="-1"/>
        </w:rPr>
        <w:t xml:space="preserve">对本章所有的投标文件格式，投标人可根据自身情况进行补充和修改，但补充和修改不得造成与本</w:t>
      </w:r>
      <w:r>
        <w:rPr>
          <w:rFonts w:ascii="宋体" w:hAnsi="宋体" w:cs="宋体"/>
          <w:b/>
          <w:bCs/>
          <w:spacing w:val="-2"/>
        </w:rPr>
        <w:t xml:space="preserve">格式内容有实质性的违背。</w:t>
      </w:r>
      <w:r>
        <w:rPr>
          <w:rFonts w:ascii="宋体" w:hAnsi="宋体" w:cs="宋体"/>
        </w:rPr>
      </w:r>
      <w:r/>
    </w:p>
    <w:p>
      <w:pPr>
        <w:pStyle w:val="1011"/>
        <w:spacing w:line="413" w:lineRule="auto"/>
        <w:rPr>
          <w:rFonts w:ascii="宋体" w:hAnsi="宋体" w:cs="宋体"/>
        </w:rPr>
        <w:sectPr>
          <w:headerReference w:type="default" r:id="rId9"/>
          <w:footnotePr/>
          <w:endnotePr/>
          <w:type w:val="nextPage"/>
          <w:pgSz w:w="11907" w:h="16839" w:orient="portrait"/>
          <w:pgMar w:top="921" w:right="1106" w:bottom="676" w:left="1104" w:header="601" w:footer="511" w:gutter="0"/>
          <w:cols w:num="1" w:sep="0" w:space="720" w:equalWidth="1"/>
          <w:docGrid w:linePitch="360"/>
        </w:sectPr>
      </w:pPr>
      <w:r>
        <w:rPr>
          <w:rFonts w:ascii="宋体" w:hAnsi="宋体" w:cs="宋体"/>
        </w:rPr>
      </w:r>
      <w:r/>
    </w:p>
    <w:p>
      <w:pPr>
        <w:pStyle w:val="1011"/>
        <w:ind w:left="37"/>
        <w:spacing w:before="157" w:line="221" w:lineRule="auto"/>
        <w:rPr>
          <w:rFonts w:ascii="宋体" w:hAnsi="宋体" w:cs="宋体"/>
        </w:rPr>
      </w:pPr>
      <w:r>
        <w:rPr>
          <w:rFonts w:ascii="宋体" w:hAnsi="宋体" w:cs="宋体"/>
          <w:b/>
          <w:bCs/>
          <w:spacing w:val="-9"/>
        </w:rPr>
        <w:t xml:space="preserve">格式1、投标函</w:t>
      </w:r>
      <w:r>
        <w:rPr>
          <w:rFonts w:ascii="宋体" w:hAnsi="宋体" w:cs="宋体"/>
        </w:rPr>
      </w:r>
      <w:r/>
    </w:p>
    <w:p>
      <w:pPr>
        <w:pStyle w:val="1011"/>
        <w:ind w:left="4541"/>
        <w:spacing w:before="187" w:line="222" w:lineRule="auto"/>
        <w:rPr>
          <w:rFonts w:ascii="宋体" w:hAnsi="宋体" w:cs="宋体"/>
        </w:rPr>
      </w:pPr>
      <w:r>
        <w:rPr>
          <w:rFonts w:ascii="宋体" w:hAnsi="宋体" w:cs="宋体"/>
          <w:b/>
          <w:bCs/>
          <w:spacing w:val="-4"/>
        </w:rPr>
        <w:t xml:space="preserve">投标函</w:t>
      </w:r>
      <w:r>
        <w:rPr>
          <w:rFonts w:ascii="宋体" w:hAnsi="宋体" w:cs="宋体"/>
        </w:rPr>
      </w:r>
      <w:r/>
    </w:p>
    <w:p>
      <w:pPr>
        <w:pStyle w:val="1182"/>
        <w:spacing w:line="285" w:lineRule="auto"/>
      </w:pPr>
      <w:r/>
      <w:bookmarkStart w:id="73" w:name="OLE_LINK63"/>
      <w:r/>
      <w:r/>
    </w:p>
    <w:p>
      <w:pPr>
        <w:pStyle w:val="1182"/>
        <w:spacing w:line="285" w:lineRule="auto"/>
      </w:pPr>
      <w:r/>
      <w:r/>
    </w:p>
    <w:p>
      <w:pPr>
        <w:pStyle w:val="1011"/>
        <w:ind w:left="41"/>
        <w:spacing w:before="68" w:line="221" w:lineRule="auto"/>
        <w:rPr>
          <w:rFonts w:ascii="宋体" w:hAnsi="宋体" w:cs="宋体"/>
        </w:rPr>
      </w:pPr>
      <w:r>
        <w:rPr>
          <w:rFonts w:ascii="宋体" w:hAnsi="宋体" w:cs="宋体"/>
          <w:spacing w:val="-1"/>
          <w:u w:val="single"/>
        </w:rPr>
        <w:t xml:space="preserve">苏州常发工程咨询有限公司</w:t>
      </w:r>
      <w:r>
        <w:rPr>
          <w:rFonts w:ascii="宋体" w:hAnsi="宋体" w:cs="宋体"/>
          <w:spacing w:val="-1"/>
        </w:rPr>
        <w:t xml:space="preserve">：</w:t>
      </w:r>
      <w:r>
        <w:rPr>
          <w:rFonts w:ascii="宋体" w:hAnsi="宋体" w:cs="宋体"/>
        </w:rPr>
      </w:r>
      <w:r/>
    </w:p>
    <w:p>
      <w:pPr>
        <w:pStyle w:val="1182"/>
        <w:spacing w:line="274" w:lineRule="auto"/>
      </w:pPr>
      <w:r/>
      <w:r/>
    </w:p>
    <w:p>
      <w:pPr>
        <w:pStyle w:val="1182"/>
        <w:spacing w:line="274" w:lineRule="auto"/>
      </w:pPr>
      <w:r/>
      <w:r/>
    </w:p>
    <w:p>
      <w:pPr>
        <w:pStyle w:val="1011"/>
        <w:jc w:val="right"/>
        <w:spacing w:before="68" w:line="221" w:lineRule="auto"/>
        <w:rPr>
          <w:rFonts w:ascii="宋体" w:hAnsi="宋体" w:cs="宋体"/>
        </w:rPr>
      </w:pPr>
      <w:r>
        <w:rPr>
          <w:rFonts w:ascii="宋体" w:hAnsi="宋体" w:cs="宋体"/>
        </w:rPr>
        <w:t xml:space="preserve">我方收到贵方 号招标文件，经仔细阅读和研究，我方决定参加投标，并做出如下承诺：</w:t>
      </w:r>
      <w:r/>
    </w:p>
    <w:p>
      <w:pPr>
        <w:pStyle w:val="1011"/>
        <w:ind w:left="37" w:right="59" w:firstLine="434"/>
        <w:spacing w:before="182" w:line="304" w:lineRule="auto"/>
        <w:rPr>
          <w:rFonts w:ascii="宋体" w:hAnsi="宋体" w:cs="宋体"/>
        </w:rPr>
      </w:pPr>
      <w:r>
        <w:rPr>
          <w:rFonts w:ascii="宋体" w:hAnsi="宋体" w:cs="宋体"/>
          <w:spacing w:val="1"/>
        </w:rPr>
        <w:t xml:space="preserve">1、我方已详细审查并同意招标文件及更正文件（如有）中的规定。我方完全理解并同意放弃对这方</w:t>
      </w:r>
      <w:r>
        <w:rPr>
          <w:rFonts w:ascii="宋体" w:hAnsi="宋体" w:cs="宋体"/>
          <w:spacing w:val="-2"/>
        </w:rPr>
        <w:t xml:space="preserve">面有不明及误解的权利。</w:t>
      </w:r>
      <w:r>
        <w:rPr>
          <w:rFonts w:ascii="宋体" w:hAnsi="宋体" w:cs="宋体"/>
        </w:rPr>
      </w:r>
      <w:r/>
    </w:p>
    <w:p>
      <w:pPr>
        <w:pStyle w:val="1011"/>
        <w:ind w:left="36" w:right="51" w:firstLine="422"/>
        <w:spacing w:before="190" w:line="304" w:lineRule="auto"/>
        <w:rPr>
          <w:rFonts w:ascii="宋体" w:hAnsi="宋体" w:cs="宋体"/>
        </w:rPr>
      </w:pPr>
      <w:r>
        <w:rPr>
          <w:rFonts w:ascii="宋体" w:hAnsi="宋体" w:cs="宋体"/>
          <w:spacing w:val="2"/>
        </w:rPr>
        <w:t xml:space="preserve">2、我方愿意按照招标文件的一切要求，提供本项目的所有内容，我方投</w:t>
      </w:r>
      <w:r>
        <w:rPr>
          <w:rFonts w:ascii="宋体" w:hAnsi="宋体" w:cs="宋体"/>
          <w:spacing w:val="1"/>
        </w:rPr>
        <w:t xml:space="preserve">标的报价包括完成本项工作</w:t>
      </w:r>
      <w:r>
        <w:rPr>
          <w:rFonts w:ascii="宋体" w:hAnsi="宋体" w:cs="宋体"/>
          <w:spacing w:val="-1"/>
        </w:rPr>
        <w:t xml:space="preserve">所需的一切应有费用。</w:t>
      </w:r>
      <w:r>
        <w:rPr>
          <w:rFonts w:ascii="宋体" w:hAnsi="宋体" w:cs="宋体"/>
        </w:rPr>
      </w:r>
      <w:r/>
    </w:p>
    <w:p>
      <w:pPr>
        <w:pStyle w:val="1011"/>
        <w:ind w:left="37" w:right="51" w:firstLine="423"/>
        <w:spacing w:before="187" w:line="305" w:lineRule="auto"/>
        <w:rPr>
          <w:rFonts w:ascii="宋体" w:hAnsi="宋体" w:cs="宋体"/>
        </w:rPr>
      </w:pPr>
      <w:r>
        <w:rPr>
          <w:rFonts w:ascii="宋体" w:hAnsi="宋体" w:cs="宋体"/>
          <w:spacing w:val="2"/>
        </w:rPr>
        <w:t xml:space="preserve">3、如果我方的投标书被接受，我方将严格履行招标文件中规定的每</w:t>
      </w:r>
      <w:r>
        <w:rPr>
          <w:rFonts w:ascii="宋体" w:hAnsi="宋体" w:cs="宋体"/>
          <w:spacing w:val="1"/>
        </w:rPr>
        <w:t xml:space="preserve">一项要求，严格履行合同的责任</w:t>
      </w:r>
      <w:r>
        <w:rPr>
          <w:rFonts w:ascii="宋体" w:hAnsi="宋体" w:cs="宋体"/>
          <w:spacing w:val="-1"/>
        </w:rPr>
        <w:t xml:space="preserve">和义务，保证按期、按质履行合同，完成合同所规定的全部内容。</w:t>
      </w:r>
      <w:r>
        <w:rPr>
          <w:rFonts w:ascii="宋体" w:hAnsi="宋体" w:cs="宋体"/>
        </w:rPr>
      </w:r>
      <w:r/>
    </w:p>
    <w:p>
      <w:pPr>
        <w:pStyle w:val="1011"/>
        <w:ind w:left="38" w:right="97" w:firstLine="417"/>
        <w:spacing w:before="187" w:line="304" w:lineRule="auto"/>
        <w:rPr>
          <w:rFonts w:ascii="宋体" w:hAnsi="宋体" w:cs="宋体"/>
        </w:rPr>
      </w:pPr>
      <w:r>
        <w:rPr>
          <w:rFonts w:ascii="宋体" w:hAnsi="宋体" w:cs="宋体"/>
          <w:spacing w:val="1"/>
        </w:rPr>
        <w:t xml:space="preserve">4、我方同意采购人关于违约责任的认定方式和对违约责任的处罚；在服务</w:t>
      </w:r>
      <w:r>
        <w:rPr>
          <w:rFonts w:ascii="宋体" w:hAnsi="宋体" w:cs="宋体"/>
        </w:rPr>
        <w:t xml:space="preserve">过程中，如我单位违约， </w:t>
      </w:r>
      <w:r>
        <w:rPr>
          <w:rFonts w:ascii="宋体" w:hAnsi="宋体" w:cs="宋体"/>
          <w:spacing w:val="-2"/>
        </w:rPr>
        <w:t xml:space="preserve">我单位愿意承担相应违约责任。</w:t>
      </w:r>
      <w:r>
        <w:rPr>
          <w:rFonts w:ascii="宋体" w:hAnsi="宋体" w:cs="宋体"/>
        </w:rPr>
      </w:r>
      <w:r/>
    </w:p>
    <w:p>
      <w:pPr>
        <w:pStyle w:val="1011"/>
        <w:ind w:left="461"/>
        <w:spacing w:before="188" w:line="221" w:lineRule="auto"/>
        <w:rPr>
          <w:rFonts w:ascii="宋体" w:hAnsi="宋体" w:cs="宋体"/>
        </w:rPr>
      </w:pPr>
      <w:r>
        <w:rPr>
          <w:rFonts w:ascii="宋体" w:hAnsi="宋体" w:cs="宋体"/>
          <w:spacing w:val="-2"/>
        </w:rPr>
        <w:t xml:space="preserve">5、我方同意按招标文件中的规定，本投标书的有效期限为投标截止时间之日起</w:t>
      </w:r>
      <w:r>
        <w:rPr>
          <w:rFonts w:ascii="宋体" w:hAnsi="宋体" w:cs="宋体"/>
          <w:spacing w:val="-2"/>
          <w:u w:val="single"/>
        </w:rPr>
        <w:t xml:space="preserve">90</w:t>
      </w:r>
      <w:r>
        <w:rPr>
          <w:rFonts w:ascii="宋体" w:hAnsi="宋体" w:cs="宋体"/>
          <w:spacing w:val="-2"/>
        </w:rPr>
        <w:t xml:space="preserve">日历天。</w:t>
      </w:r>
      <w:r>
        <w:rPr>
          <w:rFonts w:ascii="宋体" w:hAnsi="宋体" w:cs="宋体"/>
        </w:rPr>
      </w:r>
      <w:r/>
    </w:p>
    <w:p>
      <w:pPr>
        <w:pStyle w:val="1011"/>
        <w:ind w:left="458"/>
        <w:spacing w:before="189" w:line="221" w:lineRule="auto"/>
        <w:rPr>
          <w:rFonts w:ascii="宋体" w:hAnsi="宋体" w:cs="宋体"/>
        </w:rPr>
      </w:pPr>
      <w:r>
        <w:rPr>
          <w:rFonts w:ascii="宋体" w:hAnsi="宋体" w:cs="宋体"/>
          <w:spacing w:val="-1"/>
        </w:rPr>
        <w:t xml:space="preserve">6、我方承诺该项投标在开标后的全过程中保持有效，不作任何更改和变动。</w:t>
      </w:r>
      <w:r>
        <w:rPr>
          <w:rFonts w:ascii="宋体" w:hAnsi="宋体" w:cs="宋体"/>
        </w:rPr>
      </w:r>
      <w:r/>
    </w:p>
    <w:p>
      <w:pPr>
        <w:pStyle w:val="1011"/>
        <w:ind w:left="62" w:right="60" w:firstLine="399"/>
        <w:spacing w:before="187" w:line="305" w:lineRule="auto"/>
        <w:rPr>
          <w:rFonts w:ascii="宋体" w:hAnsi="宋体" w:cs="宋体"/>
        </w:rPr>
      </w:pPr>
      <w:r>
        <w:rPr>
          <w:rFonts w:ascii="宋体" w:hAnsi="宋体" w:cs="宋体"/>
          <w:spacing w:val="2"/>
        </w:rPr>
        <w:t xml:space="preserve">7、我方保证所提交的投标文件中所有资料</w:t>
      </w:r>
      <w:r>
        <w:rPr>
          <w:rFonts w:ascii="宋体" w:hAnsi="宋体" w:cs="宋体"/>
          <w:spacing w:val="1"/>
        </w:rPr>
        <w:t xml:space="preserve">均是真实的、准确的。若与真实情况不符，我方愿意承担</w:t>
      </w:r>
      <w:r>
        <w:rPr>
          <w:rFonts w:ascii="宋体" w:hAnsi="宋体" w:cs="宋体"/>
          <w:spacing w:val="-5"/>
        </w:rPr>
        <w:t xml:space="preserve">由此而产生的一切后果。</w:t>
      </w:r>
      <w:r>
        <w:rPr>
          <w:rFonts w:ascii="宋体" w:hAnsi="宋体" w:cs="宋体"/>
        </w:rPr>
      </w:r>
      <w:r/>
    </w:p>
    <w:p>
      <w:pPr>
        <w:pStyle w:val="1011"/>
        <w:ind w:left="457"/>
        <w:spacing w:before="187" w:line="221" w:lineRule="auto"/>
        <w:rPr>
          <w:rFonts w:ascii="宋体" w:hAnsi="宋体" w:cs="宋体"/>
        </w:rPr>
      </w:pPr>
      <w:r>
        <w:rPr>
          <w:rFonts w:ascii="宋体" w:hAnsi="宋体" w:cs="宋体"/>
        </w:rPr>
        <w:t xml:space="preserve">8、我方承诺满足《中华人民共和国政府采购法》第二十二条规定</w:t>
      </w:r>
      <w:r>
        <w:rPr>
          <w:rFonts w:ascii="宋体" w:hAnsi="宋体" w:cs="宋体"/>
          <w:spacing w:val="-1"/>
        </w:rPr>
        <w:t xml:space="preserve">的所有条件。</w:t>
      </w:r>
      <w:r>
        <w:rPr>
          <w:rFonts w:ascii="宋体" w:hAnsi="宋体" w:cs="宋体"/>
        </w:rPr>
      </w:r>
      <w:r/>
    </w:p>
    <w:p>
      <w:pPr>
        <w:pStyle w:val="1011"/>
        <w:ind w:left="457"/>
        <w:spacing w:before="189" w:line="221" w:lineRule="auto"/>
        <w:rPr>
          <w:rFonts w:ascii="宋体" w:hAnsi="宋体" w:cs="宋体"/>
        </w:rPr>
      </w:pPr>
      <w:r>
        <w:rPr>
          <w:rFonts w:ascii="宋体" w:hAnsi="宋体" w:cs="宋体"/>
          <w:spacing w:val="-1"/>
        </w:rPr>
        <w:t xml:space="preserve">9、我方愿意按照《中华人民共和国民法典》履行自己应该承担的全部责任。</w:t>
      </w:r>
      <w:r>
        <w:rPr>
          <w:rFonts w:ascii="宋体" w:hAnsi="宋体" w:cs="宋体"/>
        </w:rPr>
      </w:r>
      <w:r/>
    </w:p>
    <w:p>
      <w:pPr>
        <w:pStyle w:val="1182"/>
        <w:spacing w:line="444" w:lineRule="auto"/>
      </w:pPr>
      <w:r/>
      <w:r/>
    </w:p>
    <w:p>
      <w:pPr>
        <w:pStyle w:val="1011"/>
        <w:ind w:left="456"/>
        <w:spacing w:before="69" w:line="221" w:lineRule="auto"/>
        <w:rPr>
          <w:rFonts w:ascii="宋体" w:hAnsi="宋体" w:cs="宋体"/>
        </w:rPr>
      </w:pPr>
      <w:r>
        <w:rPr>
          <w:rFonts w:ascii="宋体" w:hAnsi="宋体" w:cs="宋体"/>
          <w:spacing w:val="-1"/>
        </w:rPr>
        <w:t xml:space="preserve">所有与本投标相关的函电，请按下列地址联系：</w:t>
      </w:r>
      <w:r>
        <w:rPr>
          <w:rFonts w:ascii="宋体" w:hAnsi="宋体" w:cs="宋体"/>
        </w:rPr>
      </w:r>
      <w:r/>
    </w:p>
    <w:p>
      <w:pPr>
        <w:pStyle w:val="1011"/>
        <w:ind w:left="458"/>
        <w:spacing w:before="193" w:line="222" w:lineRule="auto"/>
        <w:rPr>
          <w:rFonts w:ascii="宋体" w:hAnsi="宋体" w:cs="宋体"/>
        </w:rPr>
      </w:pPr>
      <w:r>
        <w:rPr>
          <w:rFonts w:ascii="宋体" w:hAnsi="宋体" w:cs="宋体"/>
          <w:spacing w:val="-4"/>
        </w:rPr>
        <w:t xml:space="preserve">单位：                                  </w:t>
      </w:r>
      <w:r>
        <w:rPr>
          <w:rFonts w:ascii="宋体" w:hAnsi="宋体" w:cs="宋体"/>
          <w:spacing w:val="-5"/>
        </w:rPr>
        <w:t xml:space="preserve">              联 系 人：</w:t>
      </w:r>
      <w:r>
        <w:rPr>
          <w:rFonts w:ascii="宋体" w:hAnsi="宋体" w:cs="宋体"/>
        </w:rPr>
      </w:r>
      <w:r/>
    </w:p>
    <w:p>
      <w:pPr>
        <w:pStyle w:val="1011"/>
        <w:ind w:left="456"/>
        <w:spacing w:before="190" w:line="221" w:lineRule="auto"/>
        <w:rPr>
          <w:rFonts w:ascii="宋体" w:hAnsi="宋体" w:cs="宋体"/>
        </w:rPr>
      </w:pPr>
      <w:r>
        <w:rPr>
          <w:rFonts w:ascii="宋体" w:hAnsi="宋体" w:cs="宋体"/>
          <w:spacing w:val="-8"/>
        </w:rPr>
        <w:t xml:space="preserve">地址：邮政编码：</w:t>
      </w:r>
      <w:r>
        <w:rPr>
          <w:rFonts w:ascii="宋体" w:hAnsi="宋体" w:cs="宋体"/>
        </w:rPr>
      </w:r>
      <w:r/>
    </w:p>
    <w:p>
      <w:pPr>
        <w:pStyle w:val="1011"/>
        <w:ind w:left="457"/>
        <w:spacing w:before="187" w:line="222" w:lineRule="auto"/>
        <w:rPr>
          <w:rFonts w:ascii="宋体" w:hAnsi="宋体" w:cs="宋体"/>
        </w:rPr>
      </w:pPr>
      <w:r>
        <w:rPr>
          <w:rFonts w:ascii="宋体" w:hAnsi="宋体" w:cs="宋体"/>
          <w:spacing w:val="-7"/>
        </w:rPr>
        <w:t xml:space="preserve">联系电话：电子邮箱：</w:t>
      </w:r>
      <w:r>
        <w:rPr>
          <w:rFonts w:ascii="宋体" w:hAnsi="宋体" w:cs="宋体"/>
        </w:rPr>
      </w:r>
      <w:r/>
    </w:p>
    <w:p>
      <w:pPr>
        <w:pStyle w:val="1182"/>
        <w:spacing w:line="271" w:lineRule="auto"/>
      </w:pPr>
      <w:r/>
      <w:r/>
    </w:p>
    <w:p>
      <w:pPr>
        <w:pStyle w:val="1182"/>
        <w:spacing w:line="271" w:lineRule="auto"/>
      </w:pPr>
      <w:r/>
      <w:r/>
    </w:p>
    <w:p>
      <w:pPr>
        <w:pStyle w:val="1182"/>
        <w:spacing w:line="271" w:lineRule="auto"/>
      </w:pPr>
      <w:r/>
      <w:r/>
    </w:p>
    <w:p>
      <w:pPr>
        <w:pStyle w:val="1182"/>
        <w:spacing w:line="272" w:lineRule="auto"/>
      </w:pPr>
      <w:r/>
      <w:r/>
    </w:p>
    <w:p>
      <w:pPr>
        <w:pStyle w:val="1182"/>
        <w:spacing w:line="272" w:lineRule="auto"/>
      </w:pPr>
      <w:r/>
      <w:r/>
    </w:p>
    <w:p>
      <w:pPr>
        <w:pStyle w:val="1011"/>
        <w:ind w:left="459"/>
        <w:spacing w:before="69" w:line="221" w:lineRule="auto"/>
        <w:rPr>
          <w:rFonts w:ascii="宋体" w:hAnsi="宋体" w:cs="宋体"/>
        </w:rPr>
      </w:pPr>
      <w:r>
        <w:rPr>
          <w:rFonts w:ascii="宋体" w:hAnsi="宋体" w:cs="宋体"/>
          <w:spacing w:val="-4"/>
        </w:rPr>
        <w:t xml:space="preserve">投标人（公章</w:t>
      </w:r>
      <w:r>
        <w:rPr>
          <w:rFonts w:ascii="宋体" w:hAnsi="宋体" w:cs="宋体"/>
          <w:spacing w:val="1"/>
        </w:rPr>
        <w:t xml:space="preserve">）：</w:t>
      </w:r>
      <w:r>
        <w:rPr>
          <w:rFonts w:ascii="宋体" w:hAnsi="宋体" w:cs="宋体"/>
        </w:rPr>
      </w:r>
      <w:r/>
    </w:p>
    <w:p>
      <w:pPr>
        <w:pStyle w:val="1011"/>
        <w:ind w:left="457"/>
        <w:spacing w:before="190" w:line="221" w:lineRule="auto"/>
        <w:rPr>
          <w:rFonts w:ascii="宋体" w:hAnsi="宋体" w:cs="宋体"/>
        </w:rPr>
      </w:pPr>
      <w:r>
        <w:rPr>
          <w:rFonts w:ascii="宋体" w:hAnsi="宋体" w:cs="宋体"/>
          <w:spacing w:val="-1"/>
        </w:rPr>
        <w:t xml:space="preserve">法定代表人或代理人（签字或盖章</w:t>
      </w:r>
      <w:r>
        <w:rPr>
          <w:rFonts w:ascii="宋体" w:hAnsi="宋体" w:cs="宋体"/>
          <w:spacing w:val="4"/>
        </w:rPr>
        <w:t xml:space="preserve">）：</w:t>
      </w:r>
      <w:r>
        <w:rPr>
          <w:rFonts w:ascii="宋体" w:hAnsi="宋体" w:cs="宋体"/>
        </w:rPr>
      </w:r>
      <w:r/>
    </w:p>
    <w:p>
      <w:pPr>
        <w:pStyle w:val="1011"/>
        <w:ind w:left="493"/>
        <w:spacing w:before="188" w:line="221" w:lineRule="auto"/>
        <w:rPr>
          <w:rFonts w:ascii="宋体" w:hAnsi="宋体" w:cs="宋体"/>
        </w:rPr>
      </w:pPr>
      <w:r>
        <w:rPr>
          <w:rFonts w:ascii="宋体" w:hAnsi="宋体" w:cs="宋体"/>
          <w:spacing w:val="-11"/>
        </w:rPr>
        <w:t xml:space="preserve">日期：年月日</w:t>
      </w:r>
      <w:bookmarkEnd w:id="73"/>
      <w:r>
        <w:rPr>
          <w:rFonts w:ascii="宋体" w:hAnsi="宋体" w:cs="宋体"/>
        </w:rPr>
      </w:r>
      <w:r/>
    </w:p>
    <w:p>
      <w:pPr>
        <w:pStyle w:val="1011"/>
        <w:spacing w:line="221" w:lineRule="auto"/>
        <w:rPr>
          <w:rFonts w:ascii="宋体" w:hAnsi="宋体" w:cs="宋体"/>
        </w:rPr>
        <w:sectPr>
          <w:headerReference w:type="default" r:id="rId10"/>
          <w:footnotePr/>
          <w:endnotePr/>
          <w:type w:val="nextPage"/>
          <w:pgSz w:w="11907" w:h="16839" w:orient="portrait"/>
          <w:pgMar w:top="921" w:right="1079" w:bottom="676" w:left="1104" w:header="601" w:footer="511" w:gutter="0"/>
          <w:cols w:num="1" w:sep="0" w:space="720" w:equalWidth="1"/>
          <w:docGrid w:linePitch="360"/>
        </w:sectPr>
      </w:pPr>
      <w:r>
        <w:rPr>
          <w:rFonts w:ascii="宋体" w:hAnsi="宋体" w:cs="宋体"/>
        </w:rPr>
      </w:r>
      <w:r/>
    </w:p>
    <w:p>
      <w:pPr>
        <w:pStyle w:val="1011"/>
        <w:ind w:left="37"/>
        <w:spacing w:before="156" w:line="221" w:lineRule="auto"/>
        <w:rPr>
          <w:rFonts w:ascii="宋体" w:hAnsi="宋体" w:cs="宋体"/>
        </w:rPr>
      </w:pPr>
      <w:r>
        <w:rPr>
          <w:rFonts w:ascii="宋体" w:hAnsi="宋体" w:cs="宋体"/>
          <w:b/>
          <w:bCs/>
          <w:spacing w:val="-4"/>
        </w:rPr>
        <w:t xml:space="preserve">格式2、法定代表人授权委托书</w:t>
      </w:r>
      <w:r>
        <w:rPr>
          <w:rFonts w:ascii="宋体" w:hAnsi="宋体" w:cs="宋体"/>
        </w:rPr>
      </w:r>
      <w:r/>
    </w:p>
    <w:p>
      <w:pPr>
        <w:pStyle w:val="1011"/>
        <w:ind w:left="4465"/>
        <w:spacing w:before="187" w:line="221" w:lineRule="auto"/>
        <w:rPr>
          <w:rFonts w:ascii="宋体" w:hAnsi="宋体" w:cs="宋体"/>
        </w:rPr>
      </w:pPr>
      <w:r>
        <w:rPr>
          <w:rFonts w:ascii="宋体" w:hAnsi="宋体" w:cs="宋体"/>
          <w:b/>
          <w:bCs/>
          <w:spacing w:val="-3"/>
        </w:rPr>
        <w:t xml:space="preserve">法定代表人授权委托书</w:t>
      </w:r>
      <w:r>
        <w:rPr>
          <w:rFonts w:ascii="宋体" w:hAnsi="宋体" w:cs="宋体"/>
        </w:rPr>
      </w:r>
      <w:r/>
    </w:p>
    <w:p>
      <w:pPr>
        <w:pStyle w:val="1182"/>
        <w:spacing w:line="310" w:lineRule="auto"/>
      </w:pPr>
      <w:r/>
      <w:r/>
    </w:p>
    <w:p>
      <w:pPr>
        <w:pStyle w:val="1182"/>
        <w:spacing w:line="311" w:lineRule="auto"/>
      </w:pPr>
      <w:r/>
      <w:r/>
    </w:p>
    <w:p>
      <w:pPr>
        <w:pStyle w:val="1011"/>
        <w:ind w:left="37" w:right="26" w:firstLine="420"/>
        <w:jc w:val="both"/>
        <w:spacing w:before="68" w:line="457" w:lineRule="auto"/>
        <w:rPr>
          <w:rFonts w:ascii="宋体" w:hAnsi="宋体" w:cs="宋体"/>
        </w:rPr>
      </w:pPr>
      <w:r>
        <w:rPr>
          <w:rFonts w:ascii="宋体" w:hAnsi="宋体" w:cs="宋体"/>
          <w:spacing w:val="-2"/>
        </w:rPr>
        <w:t xml:space="preserve">本授权委托书声明：我 </w:t>
      </w:r>
      <w:r>
        <w:rPr>
          <w:rFonts w:ascii="宋体" w:hAnsi="宋体" w:cs="宋体"/>
          <w:spacing w:val="-2"/>
          <w:u w:val="single"/>
        </w:rPr>
        <w:t xml:space="preserve"> （姓名） </w:t>
      </w:r>
      <w:r>
        <w:rPr>
          <w:rFonts w:ascii="宋体" w:hAnsi="宋体" w:cs="宋体"/>
          <w:spacing w:val="-2"/>
        </w:rPr>
        <w:t xml:space="preserve"> 系</w:t>
      </w:r>
      <w:r>
        <w:rPr>
          <w:rFonts w:ascii="宋体" w:hAnsi="宋体" w:cs="宋体"/>
          <w:spacing w:val="-2"/>
          <w:u w:val="single"/>
        </w:rPr>
        <w:t xml:space="preserve">（投标</w:t>
      </w:r>
      <w:r>
        <w:rPr>
          <w:rFonts w:ascii="宋体" w:hAnsi="宋体" w:cs="宋体"/>
          <w:spacing w:val="-3"/>
          <w:u w:val="single"/>
        </w:rPr>
        <w:t xml:space="preserve">单位名称）</w:t>
      </w:r>
      <w:r>
        <w:rPr>
          <w:rFonts w:ascii="宋体" w:hAnsi="宋体" w:cs="宋体"/>
          <w:spacing w:val="-3"/>
        </w:rPr>
        <w:t xml:space="preserve">的法定代表人，现授权委托</w:t>
      </w:r>
      <w:r>
        <w:rPr>
          <w:rFonts w:ascii="宋体" w:hAnsi="宋体" w:cs="宋体"/>
          <w:spacing w:val="-3"/>
          <w:u w:val="single"/>
        </w:rPr>
        <w:t xml:space="preserve">（单</w:t>
      </w:r>
      <w:r>
        <w:rPr>
          <w:rFonts w:ascii="宋体" w:hAnsi="宋体" w:cs="宋体"/>
          <w:spacing w:val="-1"/>
          <w:u w:val="single"/>
        </w:rPr>
        <w:t xml:space="preserve">位名称）   </w:t>
      </w:r>
      <w:r>
        <w:rPr>
          <w:rFonts w:ascii="宋体" w:hAnsi="宋体" w:cs="宋体"/>
          <w:spacing w:val="-1"/>
        </w:rPr>
        <w:t xml:space="preserve">的</w:t>
      </w:r>
      <w:r>
        <w:rPr>
          <w:rFonts w:ascii="宋体" w:hAnsi="宋体" w:cs="宋体"/>
          <w:spacing w:val="-1"/>
          <w:u w:val="single"/>
        </w:rPr>
        <w:t xml:space="preserve">  （姓名）  </w:t>
      </w:r>
      <w:r>
        <w:rPr>
          <w:rFonts w:ascii="宋体" w:hAnsi="宋体" w:cs="宋体"/>
          <w:spacing w:val="-1"/>
        </w:rPr>
        <w:t xml:space="preserve">为我公司代理人，以本公司的名义参加</w:t>
      </w:r>
      <w:r>
        <w:rPr>
          <w:rFonts w:ascii="宋体" w:hAnsi="宋体" w:cs="宋体"/>
          <w:spacing w:val="-1"/>
          <w:u w:val="single"/>
        </w:rPr>
        <w:t xml:space="preserve">苏州常发工程咨询有限公司</w:t>
      </w:r>
      <w:r>
        <w:rPr>
          <w:rFonts w:ascii="宋体" w:hAnsi="宋体" w:cs="宋体"/>
          <w:spacing w:val="-1"/>
        </w:rPr>
        <w:t xml:space="preserve">组织实施的编号为号的招标活动。代理人在开标、评标、合同谈判过程中所签署的一</w:t>
      </w:r>
      <w:r>
        <w:rPr>
          <w:rFonts w:ascii="宋体" w:hAnsi="宋体" w:cs="宋体"/>
          <w:spacing w:val="-2"/>
        </w:rPr>
        <w:t xml:space="preserve">切文件和</w:t>
      </w:r>
      <w:r>
        <w:rPr>
          <w:rFonts w:ascii="宋体" w:hAnsi="宋体" w:cs="宋体"/>
          <w:spacing w:val="-1"/>
        </w:rPr>
        <w:t xml:space="preserve">处理与这有关的一切事务，我均予以承认。</w:t>
      </w:r>
      <w:r>
        <w:rPr>
          <w:rFonts w:ascii="宋体" w:hAnsi="宋体" w:cs="宋体"/>
        </w:rPr>
      </w:r>
      <w:r/>
    </w:p>
    <w:p>
      <w:pPr>
        <w:pStyle w:val="1011"/>
        <w:ind w:left="37" w:right="23" w:firstLine="418"/>
        <w:spacing w:before="2" w:line="456" w:lineRule="auto"/>
        <w:rPr>
          <w:rFonts w:ascii="宋体" w:hAnsi="宋体" w:cs="宋体"/>
        </w:rPr>
      </w:pPr>
      <w:r>
        <w:rPr>
          <w:rFonts w:ascii="宋体" w:hAnsi="宋体" w:cs="宋体"/>
          <w:spacing w:val="-1"/>
        </w:rPr>
        <w:t xml:space="preserve">代理人在授权委托书有效期内签署的所有文件不因授权委托的撤销而失效，除非有撤销授权委托的书面通知，本授权委托书自投标开始至合同履行完毕止。</w:t>
      </w:r>
      <w:r>
        <w:rPr>
          <w:rFonts w:ascii="宋体" w:hAnsi="宋体" w:cs="宋体"/>
        </w:rPr>
      </w:r>
      <w:r/>
    </w:p>
    <w:p>
      <w:pPr>
        <w:pStyle w:val="1011"/>
        <w:ind w:left="456"/>
        <w:spacing w:line="221" w:lineRule="auto"/>
        <w:rPr>
          <w:rFonts w:ascii="宋体" w:hAnsi="宋体" w:cs="宋体"/>
        </w:rPr>
      </w:pPr>
      <w:r>
        <w:rPr>
          <w:rFonts w:ascii="宋体" w:hAnsi="宋体" w:cs="宋体"/>
          <w:spacing w:val="-2"/>
        </w:rPr>
        <w:t xml:space="preserve">代理人无转委托权。特此委托！</w:t>
      </w:r>
      <w:r>
        <w:rPr>
          <w:rFonts w:ascii="宋体" w:hAnsi="宋体" w:cs="宋体"/>
        </w:rPr>
      </w:r>
      <w:r/>
    </w:p>
    <w:p>
      <w:pPr>
        <w:pStyle w:val="1182"/>
        <w:spacing w:line="357" w:lineRule="auto"/>
      </w:pPr>
      <w:r/>
      <w:r/>
    </w:p>
    <w:p>
      <w:pPr>
        <w:pStyle w:val="1182"/>
        <w:spacing w:line="357" w:lineRule="auto"/>
      </w:pPr>
      <w:r/>
      <w:r/>
    </w:p>
    <w:p>
      <w:pPr>
        <w:pStyle w:val="1011"/>
        <w:ind w:left="459"/>
        <w:spacing w:before="69" w:line="221" w:lineRule="auto"/>
        <w:rPr>
          <w:rFonts w:ascii="宋体" w:hAnsi="宋体" w:cs="宋体"/>
        </w:rPr>
      </w:pPr>
      <w:r>
        <w:rPr>
          <w:rFonts w:ascii="宋体" w:hAnsi="宋体" w:cs="宋体"/>
          <w:spacing w:val="-4"/>
        </w:rPr>
        <w:t xml:space="preserve">投标人（公章</w:t>
      </w:r>
      <w:r>
        <w:rPr>
          <w:rFonts w:ascii="宋体" w:hAnsi="宋体" w:cs="宋体"/>
          <w:spacing w:val="1"/>
        </w:rPr>
        <w:t xml:space="preserve">）：</w:t>
      </w:r>
      <w:r>
        <w:rPr>
          <w:rFonts w:ascii="宋体" w:hAnsi="宋体" w:cs="宋体"/>
        </w:rPr>
      </w:r>
      <w:r/>
    </w:p>
    <w:p>
      <w:pPr>
        <w:pStyle w:val="1011"/>
        <w:ind w:left="457"/>
        <w:spacing w:before="269" w:line="221" w:lineRule="auto"/>
        <w:rPr>
          <w:rFonts w:ascii="宋体" w:hAnsi="宋体" w:cs="宋体"/>
        </w:rPr>
      </w:pPr>
      <w:r>
        <w:rPr>
          <w:rFonts w:ascii="宋体" w:hAnsi="宋体" w:cs="宋体"/>
          <w:spacing w:val="-1"/>
        </w:rPr>
        <w:t xml:space="preserve">法定代表人（签字或盖章</w:t>
      </w:r>
      <w:r>
        <w:rPr>
          <w:rFonts w:ascii="宋体" w:hAnsi="宋体" w:cs="宋体"/>
          <w:spacing w:val="-11"/>
        </w:rPr>
        <w:t xml:space="preserve">）：</w:t>
      </w:r>
      <w:r>
        <w:rPr>
          <w:rFonts w:ascii="宋体" w:hAnsi="宋体" w:cs="宋体"/>
        </w:rPr>
      </w:r>
      <w:r/>
    </w:p>
    <w:p>
      <w:pPr>
        <w:pStyle w:val="1011"/>
        <w:ind w:left="456"/>
        <w:spacing w:before="269" w:line="221" w:lineRule="auto"/>
        <w:rPr>
          <w:rFonts w:ascii="宋体" w:hAnsi="宋体" w:cs="宋体"/>
        </w:rPr>
      </w:pPr>
      <w:r>
        <w:rPr>
          <w:rFonts w:ascii="宋体" w:hAnsi="宋体" w:cs="宋体"/>
          <w:spacing w:val="-1"/>
        </w:rPr>
        <w:t xml:space="preserve">代理人（签字或盖章</w:t>
      </w:r>
      <w:r>
        <w:rPr>
          <w:rFonts w:ascii="宋体" w:hAnsi="宋体" w:cs="宋体"/>
          <w:spacing w:val="-11"/>
        </w:rPr>
        <w:t xml:space="preserve">）：</w:t>
      </w:r>
      <w:r>
        <w:rPr>
          <w:rFonts w:ascii="宋体" w:hAnsi="宋体" w:cs="宋体"/>
        </w:rPr>
      </w:r>
      <w:r/>
    </w:p>
    <w:p>
      <w:pPr>
        <w:pStyle w:val="1011"/>
        <w:ind w:left="493"/>
        <w:spacing w:before="206" w:line="221" w:lineRule="auto"/>
        <w:rPr>
          <w:rFonts w:ascii="宋体" w:hAnsi="宋体" w:cs="宋体"/>
        </w:rPr>
      </w:pPr>
      <w:r>
        <w:rPr>
          <w:rFonts w:ascii="宋体" w:hAnsi="宋体" w:cs="宋体"/>
          <w:spacing w:val="-11"/>
        </w:rPr>
        <w:t xml:space="preserve">日期：年月日</w:t>
      </w:r>
      <w:r>
        <w:rPr>
          <w:rFonts w:ascii="宋体" w:hAnsi="宋体" w:cs="宋体"/>
        </w:rPr>
      </w:r>
      <w:r/>
    </w:p>
    <w:p>
      <w:pPr>
        <w:pStyle w:val="1182"/>
        <w:spacing w:line="272" w:lineRule="auto"/>
      </w:pPr>
      <w:r/>
      <w:r/>
    </w:p>
    <w:p>
      <w:pPr>
        <w:pStyle w:val="1182"/>
        <w:spacing w:line="272" w:lineRule="auto"/>
      </w:pPr>
      <w:r/>
      <w:r/>
    </w:p>
    <w:p>
      <w:pPr>
        <w:pStyle w:val="1182"/>
        <w:spacing w:line="272" w:lineRule="auto"/>
      </w:pPr>
      <w:r/>
      <w:r/>
    </w:p>
    <w:p>
      <w:pPr>
        <w:pStyle w:val="1182"/>
        <w:spacing w:line="272" w:lineRule="auto"/>
      </w:pPr>
      <w:r/>
      <w:r/>
    </w:p>
    <w:p>
      <w:pPr>
        <w:pStyle w:val="1182"/>
        <w:spacing w:line="272" w:lineRule="auto"/>
      </w:pPr>
      <w:r/>
      <w:r/>
    </w:p>
    <w:p>
      <w:pPr>
        <w:pStyle w:val="1011"/>
        <w:ind w:left="459"/>
        <w:spacing w:before="69" w:line="226" w:lineRule="auto"/>
        <w:rPr>
          <w:rFonts w:ascii="宋体" w:hAnsi="宋体" w:cs="宋体"/>
        </w:rPr>
      </w:pPr>
      <w:r/>
      <w:bookmarkStart w:id="74" w:name="OLE_LINK66"/>
      <w:r>
        <w:rPr>
          <w:rFonts w:ascii="宋体" w:hAnsi="宋体" w:cs="宋体"/>
          <w:b/>
          <w:bCs/>
          <w:spacing w:val="-16"/>
        </w:rPr>
        <w:t xml:space="preserve">注：</w:t>
      </w:r>
      <w:r>
        <w:rPr>
          <w:rFonts w:ascii="宋体" w:hAnsi="宋体" w:cs="宋体"/>
        </w:rPr>
      </w:r>
      <w:r/>
    </w:p>
    <w:p>
      <w:pPr>
        <w:pStyle w:val="1011"/>
        <w:ind w:left="38" w:right="26" w:firstLine="426"/>
        <w:spacing w:before="183" w:line="303" w:lineRule="auto"/>
        <w:rPr>
          <w:rFonts w:ascii="宋体" w:hAnsi="宋体" w:cs="宋体"/>
        </w:rPr>
      </w:pPr>
      <w:r>
        <w:rPr>
          <w:rFonts w:ascii="Times New Roman" w:hAnsi="Times New Roman" w:eastAsia="Times New Roman" w:cs="Times New Roman"/>
          <w:b/>
          <w:bCs/>
          <w:spacing w:val="-1"/>
        </w:rPr>
        <w:t xml:space="preserve">1</w:t>
      </w:r>
      <w:r>
        <w:rPr>
          <w:rFonts w:ascii="宋体" w:hAnsi="宋体" w:cs="宋体"/>
          <w:b/>
          <w:bCs/>
          <w:spacing w:val="-1"/>
        </w:rPr>
        <w:t xml:space="preserve">、本授权委托书仅限于法人性质投标人投标，且必须提供法定代表人和代理人身份证</w:t>
      </w:r>
      <w:r>
        <w:rPr>
          <w:rFonts w:ascii="宋体" w:hAnsi="宋体" w:cs="宋体"/>
          <w:b/>
          <w:bCs/>
          <w:spacing w:val="-2"/>
        </w:rPr>
        <w:t xml:space="preserve">复印件。非法人性质投标人投标，授权委托书格式自拟，且必须同时提</w:t>
      </w:r>
      <w:r>
        <w:rPr>
          <w:rFonts w:ascii="宋体" w:hAnsi="宋体" w:cs="宋体"/>
          <w:b/>
          <w:bCs/>
          <w:spacing w:val="-3"/>
        </w:rPr>
        <w:t xml:space="preserve">供受托双方身份证复印件。</w:t>
      </w:r>
      <w:r>
        <w:rPr>
          <w:rFonts w:ascii="宋体" w:hAnsi="宋体" w:cs="宋体"/>
        </w:rPr>
      </w:r>
      <w:r/>
    </w:p>
    <w:p>
      <w:pPr>
        <w:pStyle w:val="1011"/>
        <w:ind w:left="456"/>
        <w:spacing w:before="190" w:line="221" w:lineRule="auto"/>
        <w:rPr>
          <w:rFonts w:ascii="宋体" w:hAnsi="宋体" w:cs="宋体"/>
        </w:rPr>
      </w:pPr>
      <w:r>
        <w:rPr>
          <w:rFonts w:ascii="Times New Roman" w:hAnsi="Times New Roman" w:eastAsia="Times New Roman" w:cs="Times New Roman"/>
          <w:b/>
          <w:bCs/>
          <w:spacing w:val="-3"/>
        </w:rPr>
        <w:t xml:space="preserve">2</w:t>
      </w:r>
      <w:r>
        <w:rPr>
          <w:rFonts w:ascii="宋体" w:hAnsi="宋体" w:cs="宋体"/>
          <w:b/>
          <w:bCs/>
          <w:spacing w:val="-3"/>
        </w:rPr>
        <w:t xml:space="preserve">、须单位签章、法定代表人签字或盖章、代理人签字或盖章三者齐全，否则该授权委托书无效。</w:t>
      </w:r>
      <w:bookmarkEnd w:id="74"/>
      <w:r>
        <w:rPr>
          <w:rFonts w:ascii="宋体" w:hAnsi="宋体" w:cs="宋体"/>
        </w:rPr>
      </w:r>
      <w:r/>
    </w:p>
    <w:p>
      <w:pPr>
        <w:pStyle w:val="1011"/>
        <w:spacing w:line="221" w:lineRule="auto"/>
        <w:rPr>
          <w:rFonts w:ascii="宋体" w:hAnsi="宋体" w:cs="宋体"/>
        </w:rPr>
        <w:sectPr>
          <w:headerReference w:type="default" r:id="rId11"/>
          <w:footnotePr/>
          <w:endnotePr/>
          <w:type w:val="nextPage"/>
          <w:pgSz w:w="11907" w:h="16839" w:orient="portrait"/>
          <w:pgMar w:top="921" w:right="1106" w:bottom="676" w:left="1104" w:header="601" w:footer="511" w:gutter="0"/>
          <w:cols w:num="1" w:sep="0" w:space="720" w:equalWidth="1"/>
          <w:docGrid w:linePitch="360"/>
        </w:sectPr>
      </w:pPr>
      <w:r>
        <w:rPr>
          <w:rFonts w:ascii="宋体" w:hAnsi="宋体" w:cs="宋体"/>
        </w:rPr>
      </w:r>
      <w:r/>
    </w:p>
    <w:p>
      <w:pPr>
        <w:pStyle w:val="1011"/>
        <w:ind w:left="37"/>
        <w:spacing w:before="157" w:line="221" w:lineRule="auto"/>
        <w:rPr>
          <w:rFonts w:ascii="宋体" w:hAnsi="宋体" w:cs="宋体"/>
        </w:rPr>
      </w:pPr>
      <w:r>
        <w:rPr>
          <w:rFonts w:ascii="宋体" w:hAnsi="宋体" w:cs="宋体"/>
          <w:b/>
          <w:bCs/>
          <w:spacing w:val="-4"/>
        </w:rPr>
        <w:t xml:space="preserve">格式3、开标一览表</w:t>
      </w:r>
      <w:r>
        <w:rPr>
          <w:rFonts w:ascii="宋体" w:hAnsi="宋体" w:cs="宋体"/>
        </w:rPr>
      </w:r>
      <w:r/>
    </w:p>
    <w:p>
      <w:pPr>
        <w:pStyle w:val="1011"/>
        <w:ind w:left="4329"/>
        <w:spacing w:before="144" w:line="222" w:lineRule="auto"/>
        <w:rPr>
          <w:rFonts w:ascii="宋体" w:hAnsi="宋体" w:cs="宋体"/>
        </w:rPr>
      </w:pPr>
      <w:r/>
      <w:bookmarkStart w:id="75" w:name="OLE_LINK67"/>
      <w:r>
        <w:rPr>
          <w:rFonts w:ascii="宋体" w:hAnsi="宋体" w:cs="宋体"/>
          <w:b/>
          <w:bCs/>
          <w:spacing w:val="-3"/>
        </w:rPr>
        <w:t xml:space="preserve">开标一览表</w:t>
      </w:r>
      <w:r>
        <w:rPr>
          <w:rFonts w:ascii="宋体" w:hAnsi="宋体" w:cs="宋体"/>
        </w:rPr>
      </w:r>
      <w:r/>
    </w:p>
    <w:p>
      <w:pPr>
        <w:pStyle w:val="1011"/>
        <w:ind w:left="40"/>
        <w:spacing w:before="215" w:line="221" w:lineRule="auto"/>
        <w:rPr>
          <w:rFonts w:ascii="宋体" w:hAnsi="宋体" w:cs="宋体"/>
        </w:rPr>
      </w:pPr>
      <w:r>
        <w:rPr>
          <w:rFonts w:ascii="宋体" w:hAnsi="宋体" w:cs="宋体"/>
          <w:spacing w:val="-7"/>
        </w:rPr>
        <w:t xml:space="preserve">项目编号：</w:t>
      </w:r>
      <w:r>
        <w:rPr>
          <w:rFonts w:ascii="宋体" w:hAnsi="宋体" w:cs="宋体"/>
        </w:rPr>
      </w:r>
      <w:r/>
    </w:p>
    <w:p>
      <w:pPr>
        <w:pStyle w:val="1011"/>
        <w:spacing w:line="88" w:lineRule="exact"/>
      </w:pPr>
      <w:r/>
      <w:r/>
    </w:p>
    <w:tbl>
      <w:tblPr>
        <w:tblW w:w="10636" w:type="dxa"/>
        <w:tblInd w:w="2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55"/>
        <w:gridCol w:w="2267"/>
        <w:gridCol w:w="2411"/>
        <w:gridCol w:w="1698"/>
        <w:gridCol w:w="1705"/>
      </w:tblGrid>
      <w:tr>
        <w:trPr>
          <w:trHeight w:val="571"/>
        </w:trPr>
        <w:tc>
          <w:tcPr>
            <w:tcW w:w="2555" w:type="dxa"/>
            <w:vAlign w:val="top"/>
            <w:textDirection w:val="lrTb"/>
            <w:noWrap w:val="false"/>
          </w:tcPr>
          <w:p>
            <w:pPr>
              <w:pStyle w:val="1198"/>
              <w:ind w:left="865"/>
              <w:spacing w:before="132" w:line="222" w:lineRule="auto"/>
              <w:rPr>
                <w:lang w:eastAsia="en-US"/>
              </w:rPr>
            </w:pPr>
            <w:r>
              <w:rPr>
                <w:spacing w:val="-3"/>
                <w:lang w:eastAsia="en-US"/>
              </w:rPr>
              <w:t xml:space="preserve">项目名称</w:t>
            </w:r>
            <w:r>
              <w:rPr>
                <w:lang w:eastAsia="en-US"/>
              </w:rPr>
            </w:r>
            <w:r/>
          </w:p>
        </w:tc>
        <w:tc>
          <w:tcPr>
            <w:tcW w:w="2267" w:type="dxa"/>
            <w:vAlign w:val="top"/>
            <w:textDirection w:val="lrTb"/>
            <w:noWrap w:val="false"/>
          </w:tcPr>
          <w:p>
            <w:pPr>
              <w:pStyle w:val="1198"/>
              <w:ind w:left="511"/>
              <w:spacing w:before="132" w:line="222" w:lineRule="auto"/>
              <w:rPr>
                <w:lang w:eastAsia="en-US"/>
              </w:rPr>
            </w:pPr>
            <w:r>
              <w:rPr>
                <w:spacing w:val="-1"/>
                <w:lang w:eastAsia="en-US"/>
              </w:rPr>
              <w:t xml:space="preserve">合同履行期限</w:t>
            </w:r>
            <w:r>
              <w:rPr>
                <w:lang w:eastAsia="en-US"/>
              </w:rPr>
            </w:r>
            <w:r/>
          </w:p>
        </w:tc>
        <w:tc>
          <w:tcPr>
            <w:tcW w:w="2411" w:type="dxa"/>
            <w:vAlign w:val="top"/>
            <w:textDirection w:val="lrTb"/>
            <w:noWrap w:val="false"/>
          </w:tcPr>
          <w:p>
            <w:pPr>
              <w:pStyle w:val="1198"/>
              <w:ind w:left="794"/>
              <w:spacing w:before="132" w:line="220" w:lineRule="auto"/>
              <w:rPr>
                <w:lang w:eastAsia="en-US"/>
              </w:rPr>
            </w:pPr>
            <w:r>
              <w:rPr>
                <w:spacing w:val="-2"/>
                <w:lang w:eastAsia="en-US"/>
              </w:rPr>
              <w:t xml:space="preserve">投标总价</w:t>
            </w:r>
            <w:r>
              <w:rPr>
                <w:lang w:eastAsia="en-US"/>
              </w:rPr>
            </w:r>
            <w:r/>
          </w:p>
        </w:tc>
        <w:tc>
          <w:tcPr>
            <w:tcW w:w="1698" w:type="dxa"/>
            <w:vAlign w:val="top"/>
            <w:textDirection w:val="lrTb"/>
            <w:noWrap w:val="false"/>
          </w:tcPr>
          <w:p>
            <w:pPr>
              <w:pStyle w:val="1198"/>
              <w:ind w:left="438"/>
              <w:spacing w:before="132" w:line="220" w:lineRule="auto"/>
              <w:rPr>
                <w:lang w:eastAsia="en-US"/>
              </w:rPr>
            </w:pPr>
            <w:r>
              <w:rPr>
                <w:spacing w:val="-2"/>
                <w:lang w:eastAsia="en-US"/>
              </w:rPr>
              <w:t xml:space="preserve">投标单价</w:t>
            </w:r>
            <w:r>
              <w:rPr>
                <w:lang w:eastAsia="en-US"/>
              </w:rPr>
            </w:r>
            <w:r/>
          </w:p>
        </w:tc>
        <w:tc>
          <w:tcPr>
            <w:tcW w:w="1705" w:type="dxa"/>
            <w:vAlign w:val="top"/>
            <w:textDirection w:val="lrTb"/>
            <w:noWrap w:val="false"/>
          </w:tcPr>
          <w:p>
            <w:pPr>
              <w:pStyle w:val="1198"/>
              <w:ind w:left="653"/>
              <w:spacing w:before="132" w:line="223" w:lineRule="auto"/>
              <w:rPr>
                <w:lang w:eastAsia="en-US"/>
              </w:rPr>
            </w:pPr>
            <w:r>
              <w:rPr>
                <w:spacing w:val="-3"/>
                <w:lang w:eastAsia="en-US"/>
              </w:rPr>
              <w:t xml:space="preserve">备注</w:t>
            </w:r>
            <w:r>
              <w:rPr>
                <w:lang w:eastAsia="en-US"/>
              </w:rPr>
            </w:r>
            <w:r/>
          </w:p>
        </w:tc>
      </w:tr>
      <w:tr>
        <w:trPr>
          <w:trHeight w:val="796"/>
        </w:trPr>
        <w:tc>
          <w:tcPr>
            <w:tcW w:w="2555" w:type="dxa"/>
            <w:vAlign w:val="top"/>
            <w:textDirection w:val="lrTb"/>
            <w:noWrap w:val="false"/>
          </w:tcPr>
          <w:p>
            <w:pPr>
              <w:pStyle w:val="1011"/>
              <w:rPr>
                <w:rFonts w:eastAsia="Arial"/>
                <w:lang w:eastAsia="en-US"/>
              </w:rPr>
            </w:pPr>
            <w:r>
              <w:rPr>
                <w:rFonts w:eastAsia="Arial"/>
                <w:lang w:eastAsia="en-US"/>
              </w:rPr>
            </w:r>
            <w:r/>
          </w:p>
        </w:tc>
        <w:tc>
          <w:tcPr>
            <w:tcW w:w="2267" w:type="dxa"/>
            <w:vAlign w:val="top"/>
            <w:textDirection w:val="lrTb"/>
            <w:noWrap w:val="false"/>
          </w:tcPr>
          <w:p>
            <w:pPr>
              <w:pStyle w:val="1198"/>
              <w:ind w:left="301"/>
              <w:spacing w:before="133" w:line="221" w:lineRule="auto"/>
              <w:rPr>
                <w:lang w:eastAsia="en-US"/>
              </w:rPr>
            </w:pPr>
            <w:r>
              <w:rPr>
                <w:spacing w:val="-1"/>
                <w:lang w:eastAsia="en-US"/>
              </w:rPr>
              <w:t xml:space="preserve">按照招标文件要求</w:t>
            </w:r>
            <w:r>
              <w:rPr>
                <w:lang w:eastAsia="en-US"/>
              </w:rPr>
            </w:r>
            <w:r/>
          </w:p>
        </w:tc>
        <w:tc>
          <w:tcPr>
            <w:tcW w:w="2411" w:type="dxa"/>
            <w:vAlign w:val="top"/>
            <w:textDirection w:val="lrTb"/>
            <w:noWrap w:val="false"/>
          </w:tcPr>
          <w:p>
            <w:pPr>
              <w:pStyle w:val="1198"/>
              <w:ind w:left="118"/>
              <w:spacing w:before="79" w:line="221" w:lineRule="auto"/>
            </w:pPr>
            <w:r>
              <w:rPr>
                <w:spacing w:val="-2"/>
              </w:rPr>
              <w:t xml:space="preserve">大写：</w:t>
            </w:r>
            <w:r>
              <w:rPr>
                <w:spacing w:val="-2"/>
                <w:u w:val="single"/>
              </w:rPr>
              <w:t xml:space="preserve">人民币         </w:t>
            </w:r>
            <w:r/>
          </w:p>
          <w:p>
            <w:pPr>
              <w:pStyle w:val="1198"/>
              <w:ind w:left="121"/>
              <w:spacing w:before="121" w:line="222" w:lineRule="auto"/>
            </w:pPr>
            <w:r>
              <w:rPr>
                <w:spacing w:val="-6"/>
              </w:rPr>
              <w:t xml:space="preserve">小写：</w:t>
            </w:r>
            <w:r>
              <w:rPr>
                <w:spacing w:val="-6"/>
                <w:u w:val="single"/>
              </w:rPr>
              <w:t xml:space="preserve">元</w:t>
            </w:r>
            <w:r/>
          </w:p>
        </w:tc>
        <w:tc>
          <w:tcPr>
            <w:tcW w:w="1698" w:type="dxa"/>
            <w:vAlign w:val="top"/>
            <w:textDirection w:val="lrTb"/>
            <w:noWrap w:val="false"/>
          </w:tcPr>
          <w:p>
            <w:pPr>
              <w:pStyle w:val="1198"/>
              <w:ind w:left="218"/>
              <w:spacing w:before="291" w:line="222" w:lineRule="auto"/>
              <w:tabs>
                <w:tab w:val="left" w:pos="955" w:leader="none"/>
              </w:tabs>
              <w:rPr>
                <w:lang w:eastAsia="en-US"/>
              </w:rPr>
            </w:pPr>
            <w:r>
              <w:rPr>
                <w:u w:val="single"/>
              </w:rPr>
              <w:tab/>
            </w:r>
            <w:r>
              <w:rPr>
                <w:spacing w:val="-3"/>
                <w:lang w:eastAsia="en-US"/>
              </w:rPr>
              <w:t xml:space="preserve">元/吨</w:t>
            </w:r>
            <w:r>
              <w:rPr>
                <w:lang w:eastAsia="en-US"/>
              </w:rPr>
            </w:r>
            <w:r/>
          </w:p>
        </w:tc>
        <w:tc>
          <w:tcPr>
            <w:tcW w:w="1705" w:type="dxa"/>
            <w:vAlign w:val="top"/>
            <w:textDirection w:val="lrTb"/>
            <w:noWrap w:val="false"/>
          </w:tcPr>
          <w:p>
            <w:pPr>
              <w:pStyle w:val="1011"/>
              <w:rPr>
                <w:rFonts w:eastAsia="Arial"/>
                <w:lang w:eastAsia="en-US"/>
              </w:rPr>
            </w:pPr>
            <w:r>
              <w:rPr>
                <w:rFonts w:eastAsia="Arial"/>
                <w:lang w:eastAsia="en-US"/>
              </w:rPr>
            </w:r>
            <w:r/>
          </w:p>
        </w:tc>
      </w:tr>
    </w:tbl>
    <w:p>
      <w:pPr>
        <w:pStyle w:val="1182"/>
        <w:spacing w:line="296" w:lineRule="auto"/>
      </w:pPr>
      <w:r/>
      <w:r/>
    </w:p>
    <w:p>
      <w:pPr>
        <w:pStyle w:val="1182"/>
        <w:spacing w:line="297" w:lineRule="auto"/>
      </w:pPr>
      <w:r/>
      <w:r/>
    </w:p>
    <w:p>
      <w:pPr>
        <w:pStyle w:val="1182"/>
        <w:spacing w:line="297" w:lineRule="auto"/>
      </w:pPr>
      <w:r/>
      <w:r/>
    </w:p>
    <w:p>
      <w:pPr>
        <w:pStyle w:val="1182"/>
        <w:spacing w:line="297" w:lineRule="auto"/>
      </w:pPr>
      <w:r/>
      <w:r/>
    </w:p>
    <w:p>
      <w:pPr>
        <w:pStyle w:val="1011"/>
        <w:ind w:left="459"/>
        <w:spacing w:before="68" w:line="221" w:lineRule="auto"/>
        <w:rPr>
          <w:rFonts w:ascii="宋体" w:hAnsi="宋体" w:cs="宋体"/>
        </w:rPr>
      </w:pPr>
      <w:r>
        <w:rPr>
          <w:rFonts w:ascii="宋体" w:hAnsi="宋体" w:cs="宋体"/>
          <w:spacing w:val="-4"/>
        </w:rPr>
        <w:t xml:space="preserve">投标人（公章</w:t>
      </w:r>
      <w:r>
        <w:rPr>
          <w:rFonts w:ascii="宋体" w:hAnsi="宋体" w:cs="宋体"/>
          <w:spacing w:val="1"/>
        </w:rPr>
        <w:t xml:space="preserve">）：</w:t>
      </w:r>
      <w:r>
        <w:rPr>
          <w:rFonts w:ascii="宋体" w:hAnsi="宋体" w:cs="宋体"/>
        </w:rPr>
      </w:r>
      <w:r/>
    </w:p>
    <w:p>
      <w:pPr>
        <w:pStyle w:val="1011"/>
        <w:ind w:left="457"/>
        <w:spacing w:before="187" w:line="221" w:lineRule="auto"/>
        <w:rPr>
          <w:rFonts w:ascii="宋体" w:hAnsi="宋体" w:cs="宋体"/>
        </w:rPr>
      </w:pPr>
      <w:r>
        <w:rPr>
          <w:rFonts w:ascii="宋体" w:hAnsi="宋体" w:cs="宋体"/>
          <w:spacing w:val="-1"/>
        </w:rPr>
        <w:t xml:space="preserve">法定代表人或代理人（签字或盖章</w:t>
      </w:r>
      <w:r>
        <w:rPr>
          <w:rFonts w:ascii="宋体" w:hAnsi="宋体" w:cs="宋体"/>
          <w:spacing w:val="4"/>
        </w:rPr>
        <w:t xml:space="preserve">）：</w:t>
      </w:r>
      <w:r>
        <w:rPr>
          <w:rFonts w:ascii="宋体" w:hAnsi="宋体" w:cs="宋体"/>
        </w:rPr>
      </w:r>
      <w:r/>
    </w:p>
    <w:p>
      <w:pPr>
        <w:pStyle w:val="1011"/>
        <w:ind w:left="493"/>
        <w:spacing w:before="191" w:line="221" w:lineRule="auto"/>
        <w:rPr>
          <w:rFonts w:ascii="宋体" w:hAnsi="宋体" w:cs="宋体"/>
        </w:rPr>
      </w:pPr>
      <w:r>
        <w:rPr>
          <w:rFonts w:ascii="宋体" w:hAnsi="宋体" w:cs="宋体"/>
          <w:spacing w:val="-11"/>
        </w:rPr>
        <w:t xml:space="preserve">日期：年月日</w:t>
      </w:r>
      <w:r>
        <w:rPr>
          <w:rFonts w:ascii="宋体" w:hAnsi="宋体" w:cs="宋体"/>
        </w:rPr>
      </w:r>
      <w:r/>
    </w:p>
    <w:p>
      <w:pPr>
        <w:pStyle w:val="1182"/>
        <w:spacing w:line="271" w:lineRule="auto"/>
      </w:pPr>
      <w:r/>
      <w:r/>
    </w:p>
    <w:p>
      <w:pPr>
        <w:pStyle w:val="1182"/>
        <w:spacing w:line="271" w:lineRule="auto"/>
      </w:pPr>
      <w:r/>
      <w:r/>
    </w:p>
    <w:p>
      <w:pPr>
        <w:pStyle w:val="1182"/>
        <w:spacing w:line="272" w:lineRule="auto"/>
      </w:pPr>
      <w:r/>
      <w:r/>
    </w:p>
    <w:p>
      <w:pPr>
        <w:pStyle w:val="1182"/>
        <w:spacing w:line="272" w:lineRule="auto"/>
      </w:pPr>
      <w:r/>
      <w:r/>
    </w:p>
    <w:p>
      <w:pPr>
        <w:pStyle w:val="1182"/>
        <w:spacing w:line="272" w:lineRule="auto"/>
      </w:pPr>
      <w:r/>
      <w:r/>
    </w:p>
    <w:p>
      <w:pPr>
        <w:pStyle w:val="1011"/>
        <w:ind w:left="459"/>
        <w:spacing w:before="69" w:line="226" w:lineRule="auto"/>
        <w:rPr>
          <w:rFonts w:ascii="宋体" w:hAnsi="宋体" w:cs="宋体"/>
        </w:rPr>
      </w:pPr>
      <w:r>
        <w:rPr>
          <w:rFonts w:ascii="宋体" w:hAnsi="宋体" w:cs="宋体"/>
          <w:b/>
          <w:bCs/>
          <w:spacing w:val="-16"/>
        </w:rPr>
        <w:t xml:space="preserve">注：</w:t>
      </w:r>
      <w:r>
        <w:rPr>
          <w:rFonts w:ascii="宋体" w:hAnsi="宋体" w:cs="宋体"/>
        </w:rPr>
      </w:r>
      <w:r/>
    </w:p>
    <w:p>
      <w:pPr>
        <w:pStyle w:val="1011"/>
        <w:ind w:left="37" w:right="996" w:firstLine="438"/>
        <w:spacing w:before="185" w:line="345" w:lineRule="auto"/>
        <w:rPr>
          <w:rFonts w:ascii="宋体" w:hAnsi="宋体" w:cs="宋体"/>
        </w:rPr>
      </w:pPr>
      <w:r>
        <w:rPr>
          <w:rFonts w:ascii="宋体" w:hAnsi="宋体" w:cs="宋体"/>
          <w:b/>
          <w:bCs/>
          <w:spacing w:val="-1"/>
        </w:rPr>
        <w:t xml:space="preserve">1、本表中的投标总价报价为综合总报价，应包含渗滤液处理到达标排放过程中所需的全部费用，包</w:t>
      </w:r>
      <w:r>
        <w:rPr>
          <w:rFonts w:ascii="宋体" w:hAnsi="宋体" w:cs="宋体"/>
          <w:b/>
          <w:bCs/>
          <w:spacing w:val="-3"/>
        </w:rPr>
        <w:t xml:space="preserve">括但不限于服务全过程所需的全部设备、材料、配件、药剂、膜组件、润滑油等费用，以及设备日常维护</w:t>
      </w:r>
      <w:r>
        <w:rPr>
          <w:rFonts w:ascii="宋体" w:hAnsi="宋体" w:cs="宋体"/>
          <w:b/>
          <w:bCs/>
          <w:spacing w:val="-5"/>
        </w:rPr>
        <w:t xml:space="preserve">费用、水质检验（</w:t>
      </w:r>
      <w:r>
        <w:rPr>
          <w:rFonts w:ascii="宋体" w:hAnsi="宋体" w:cs="宋体"/>
          <w:b/>
          <w:bCs/>
          <w:spacing w:val="-5"/>
          <w:highlight w:val="yellow"/>
        </w:rPr>
        <w:t xml:space="preserve">每月一次</w:t>
      </w:r>
      <w:r>
        <w:rPr>
          <w:rFonts w:ascii="宋体" w:hAnsi="宋体" w:cs="宋体"/>
          <w:b/>
          <w:bCs/>
          <w:spacing w:val="-5"/>
        </w:rPr>
        <w:t xml:space="preserve">）费用、人工费用（人员餐费、交通、工资等）、公司技术人员往来项目现场</w:t>
      </w:r>
      <w:r>
        <w:rPr>
          <w:rFonts w:ascii="宋体" w:hAnsi="宋体" w:cs="宋体"/>
          <w:b/>
          <w:bCs/>
          <w:spacing w:val="-3"/>
        </w:rPr>
        <w:t xml:space="preserve">交通费用、财务费用（开票、结算）等所有相关费用。</w:t>
      </w:r>
      <w:r>
        <w:rPr>
          <w:rFonts w:ascii="宋体" w:hAnsi="宋体" w:cs="宋体"/>
        </w:rPr>
      </w:r>
      <w:r/>
    </w:p>
    <w:p>
      <w:pPr>
        <w:pStyle w:val="1011"/>
        <w:ind w:left="461"/>
        <w:spacing w:before="189" w:line="220" w:lineRule="auto"/>
        <w:rPr>
          <w:rFonts w:ascii="宋体" w:hAnsi="宋体" w:cs="宋体"/>
        </w:rPr>
      </w:pPr>
      <w:r>
        <w:rPr>
          <w:rFonts w:ascii="宋体" w:hAnsi="宋体" w:cs="宋体"/>
          <w:b/>
          <w:bCs/>
          <w:spacing w:val="-3"/>
        </w:rPr>
        <w:t xml:space="preserve">2、报价金额大、小写不一致时，以大写金额为准。</w:t>
      </w:r>
      <w:bookmarkEnd w:id="75"/>
      <w:r>
        <w:rPr>
          <w:rFonts w:ascii="宋体" w:hAnsi="宋体" w:cs="宋体"/>
        </w:rPr>
      </w:r>
      <w:r/>
    </w:p>
    <w:p>
      <w:pPr>
        <w:pStyle w:val="1011"/>
        <w:spacing w:line="220" w:lineRule="auto"/>
        <w:rPr>
          <w:rFonts w:ascii="宋体" w:hAnsi="宋体" w:cs="宋体"/>
        </w:rPr>
        <w:sectPr>
          <w:headerReference w:type="default" r:id="rId12"/>
          <w:footnotePr/>
          <w:endnotePr/>
          <w:type w:val="nextPage"/>
          <w:pgSz w:w="11907" w:h="16839" w:orient="portrait"/>
          <w:pgMar w:top="921" w:right="136" w:bottom="676" w:left="1104" w:header="601" w:footer="511" w:gutter="0"/>
          <w:cols w:num="1" w:sep="0" w:space="720" w:equalWidth="1"/>
          <w:docGrid w:linePitch="360"/>
        </w:sectPr>
      </w:pPr>
      <w:r>
        <w:rPr>
          <w:rFonts w:ascii="宋体" w:hAnsi="宋体" w:cs="宋体"/>
        </w:rPr>
      </w:r>
      <w:r/>
    </w:p>
    <w:p>
      <w:pPr>
        <w:pStyle w:val="1208"/>
      </w:pPr>
      <w:r>
        <w:t xml:space="preserve">格式4、投标报价分析表</w:t>
      </w:r>
      <w:r/>
    </w:p>
    <w:p>
      <w:pPr>
        <w:pStyle w:val="1208"/>
      </w:pPr>
      <w:r/>
      <w:bookmarkStart w:id="76" w:name="OLE_LINK68"/>
      <w:r>
        <w:rPr>
          <w:spacing w:val="-3"/>
        </w:rPr>
        <w:t xml:space="preserve">投标报价分析表</w:t>
      </w:r>
      <w:r/>
    </w:p>
    <w:p>
      <w:pPr>
        <w:pStyle w:val="1208"/>
      </w:pPr>
      <w:r>
        <w:rPr>
          <w:spacing w:val="-7"/>
        </w:rPr>
        <w:t xml:space="preserve">项目编号：</w:t>
      </w:r>
      <w:r/>
    </w:p>
    <w:p>
      <w:pPr>
        <w:pStyle w:val="1208"/>
      </w:pPr>
      <w:r>
        <w:rPr>
          <w:spacing w:val="-7"/>
        </w:rPr>
        <w:t xml:space="preserve">项目名称：</w:t>
      </w:r>
      <w:r/>
    </w:p>
    <w:p>
      <w:pPr>
        <w:pStyle w:val="1208"/>
      </w:pPr>
      <w:r/>
      <w:r/>
    </w:p>
    <w:tbl>
      <w:tblPr>
        <w:tblW w:w="890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30"/>
        <w:gridCol w:w="2406"/>
        <w:gridCol w:w="823"/>
        <w:gridCol w:w="1154"/>
        <w:gridCol w:w="1273"/>
        <w:gridCol w:w="1559"/>
        <w:gridCol w:w="856"/>
      </w:tblGrid>
      <w:tr>
        <w:trPr>
          <w:trHeight w:val="476"/>
        </w:trPr>
        <w:tc>
          <w:tcPr>
            <w:tcW w:w="830" w:type="dxa"/>
            <w:vAlign w:val="top"/>
            <w:textDirection w:val="lrTb"/>
            <w:noWrap w:val="false"/>
          </w:tcPr>
          <w:p>
            <w:pPr>
              <w:pStyle w:val="1208"/>
            </w:pPr>
            <w:r>
              <w:rPr>
                <w:spacing w:val="16"/>
              </w:rPr>
              <w:t xml:space="preserve">序号</w:t>
            </w:r>
            <w:r/>
          </w:p>
        </w:tc>
        <w:tc>
          <w:tcPr>
            <w:tcW w:w="2406" w:type="dxa"/>
            <w:vAlign w:val="top"/>
            <w:textDirection w:val="lrTb"/>
            <w:noWrap w:val="false"/>
          </w:tcPr>
          <w:p>
            <w:pPr>
              <w:pStyle w:val="1208"/>
            </w:pPr>
            <w:r>
              <w:rPr>
                <w:spacing w:val="27"/>
              </w:rPr>
              <w:t xml:space="preserve">服务内容</w:t>
            </w:r>
            <w:r/>
          </w:p>
        </w:tc>
        <w:tc>
          <w:tcPr>
            <w:tcW w:w="823" w:type="dxa"/>
            <w:vAlign w:val="top"/>
            <w:textDirection w:val="lrTb"/>
            <w:noWrap w:val="false"/>
          </w:tcPr>
          <w:p>
            <w:pPr>
              <w:pStyle w:val="1208"/>
            </w:pPr>
            <w:r>
              <w:rPr>
                <w:spacing w:val="15"/>
              </w:rPr>
              <w:t xml:space="preserve">数量</w:t>
            </w:r>
            <w:r/>
          </w:p>
        </w:tc>
        <w:tc>
          <w:tcPr>
            <w:tcW w:w="1154" w:type="dxa"/>
            <w:vAlign w:val="top"/>
            <w:textDirection w:val="lrTb"/>
            <w:noWrap w:val="false"/>
          </w:tcPr>
          <w:p>
            <w:pPr>
              <w:pStyle w:val="1208"/>
            </w:pPr>
            <w:r>
              <w:rPr>
                <w:spacing w:val="15"/>
              </w:rPr>
              <w:t xml:space="preserve">单位</w:t>
            </w:r>
            <w:r/>
          </w:p>
        </w:tc>
        <w:tc>
          <w:tcPr>
            <w:tcW w:w="1273" w:type="dxa"/>
            <w:vAlign w:val="top"/>
            <w:textDirection w:val="lrTb"/>
            <w:noWrap w:val="false"/>
          </w:tcPr>
          <w:p>
            <w:pPr>
              <w:pStyle w:val="1208"/>
            </w:pPr>
            <w:r>
              <w:rPr>
                <w:spacing w:val="13"/>
              </w:rPr>
              <w:t xml:space="preserve">单价（元）</w:t>
            </w:r>
            <w:r/>
          </w:p>
        </w:tc>
        <w:tc>
          <w:tcPr>
            <w:tcW w:w="1559" w:type="dxa"/>
            <w:vAlign w:val="top"/>
            <w:textDirection w:val="lrTb"/>
            <w:noWrap w:val="false"/>
          </w:tcPr>
          <w:p>
            <w:pPr>
              <w:pStyle w:val="1208"/>
            </w:pPr>
            <w:r>
              <w:rPr>
                <w:spacing w:val="26"/>
              </w:rPr>
              <w:t xml:space="preserve">总价（元）</w:t>
            </w:r>
            <w:r/>
          </w:p>
        </w:tc>
        <w:tc>
          <w:tcPr>
            <w:tcW w:w="856" w:type="dxa"/>
            <w:vAlign w:val="top"/>
            <w:textDirection w:val="lrTb"/>
            <w:noWrap w:val="false"/>
          </w:tcPr>
          <w:p>
            <w:pPr>
              <w:pStyle w:val="1208"/>
            </w:pPr>
            <w:r>
              <w:rPr>
                <w:spacing w:val="15"/>
              </w:rPr>
              <w:t xml:space="preserve">备注</w:t>
            </w:r>
            <w:r/>
          </w:p>
        </w:tc>
      </w:tr>
      <w:tr>
        <w:trPr>
          <w:trHeight w:val="474"/>
        </w:trPr>
        <w:tc>
          <w:tcPr>
            <w:tcW w:w="830" w:type="dxa"/>
            <w:vAlign w:val="top"/>
            <w:textDirection w:val="lrTb"/>
            <w:noWrap w:val="false"/>
          </w:tcPr>
          <w:p>
            <w:pPr>
              <w:pStyle w:val="1208"/>
              <w:rPr>
                <w:rFonts w:eastAsia="Times New Roman"/>
              </w:rPr>
            </w:pPr>
            <w:r>
              <w:rPr>
                <w:rFonts w:eastAsia="Times New Roman"/>
              </w:rPr>
              <w:t xml:space="preserve">1</w:t>
            </w:r>
            <w:r/>
          </w:p>
        </w:tc>
        <w:tc>
          <w:tcPr>
            <w:tcW w:w="2406" w:type="dxa"/>
            <w:vAlign w:val="top"/>
            <w:textDirection w:val="lrTb"/>
            <w:noWrap w:val="false"/>
          </w:tcPr>
          <w:p>
            <w:pPr>
              <w:pStyle w:val="1208"/>
            </w:pPr>
            <w:r/>
            <w:r/>
          </w:p>
        </w:tc>
        <w:tc>
          <w:tcPr>
            <w:tcW w:w="823" w:type="dxa"/>
            <w:vAlign w:val="top"/>
            <w:textDirection w:val="lrTb"/>
            <w:noWrap w:val="false"/>
          </w:tcPr>
          <w:p>
            <w:pPr>
              <w:pStyle w:val="1208"/>
            </w:pPr>
            <w:r/>
            <w:r/>
          </w:p>
        </w:tc>
        <w:tc>
          <w:tcPr>
            <w:tcW w:w="1154" w:type="dxa"/>
            <w:vAlign w:val="top"/>
            <w:textDirection w:val="lrTb"/>
            <w:noWrap w:val="false"/>
          </w:tcPr>
          <w:p>
            <w:pPr>
              <w:pStyle w:val="1208"/>
            </w:pPr>
            <w:r/>
            <w:r/>
          </w:p>
        </w:tc>
        <w:tc>
          <w:tcPr>
            <w:tcW w:w="1273" w:type="dxa"/>
            <w:vAlign w:val="top"/>
            <w:textDirection w:val="lrTb"/>
            <w:noWrap w:val="false"/>
          </w:tcPr>
          <w:p>
            <w:pPr>
              <w:pStyle w:val="1208"/>
            </w:pPr>
            <w:r/>
            <w:r/>
          </w:p>
        </w:tc>
        <w:tc>
          <w:tcPr>
            <w:tcW w:w="1559" w:type="dxa"/>
            <w:vAlign w:val="top"/>
            <w:textDirection w:val="lrTb"/>
            <w:noWrap w:val="false"/>
          </w:tcPr>
          <w:p>
            <w:pPr>
              <w:pStyle w:val="1208"/>
            </w:pPr>
            <w:r/>
            <w:r/>
          </w:p>
        </w:tc>
        <w:tc>
          <w:tcPr>
            <w:tcW w:w="856" w:type="dxa"/>
            <w:vAlign w:val="top"/>
            <w:textDirection w:val="lrTb"/>
            <w:noWrap w:val="false"/>
          </w:tcPr>
          <w:p>
            <w:pPr>
              <w:pStyle w:val="1208"/>
            </w:pPr>
            <w:r/>
            <w:r/>
          </w:p>
        </w:tc>
      </w:tr>
      <w:tr>
        <w:trPr>
          <w:trHeight w:val="472"/>
        </w:trPr>
        <w:tc>
          <w:tcPr>
            <w:tcW w:w="830" w:type="dxa"/>
            <w:vAlign w:val="top"/>
            <w:textDirection w:val="lrTb"/>
            <w:noWrap w:val="false"/>
          </w:tcPr>
          <w:p>
            <w:pPr>
              <w:pStyle w:val="1208"/>
              <w:rPr>
                <w:rFonts w:eastAsia="Times New Roman"/>
              </w:rPr>
            </w:pPr>
            <w:r>
              <w:rPr>
                <w:rFonts w:eastAsia="Times New Roman"/>
              </w:rPr>
              <w:t xml:space="preserve">2</w:t>
            </w:r>
            <w:r/>
          </w:p>
        </w:tc>
        <w:tc>
          <w:tcPr>
            <w:tcW w:w="2406" w:type="dxa"/>
            <w:vAlign w:val="top"/>
            <w:textDirection w:val="lrTb"/>
            <w:noWrap w:val="false"/>
          </w:tcPr>
          <w:p>
            <w:pPr>
              <w:pStyle w:val="1208"/>
            </w:pPr>
            <w:r/>
            <w:r/>
          </w:p>
        </w:tc>
        <w:tc>
          <w:tcPr>
            <w:tcW w:w="823" w:type="dxa"/>
            <w:vAlign w:val="top"/>
            <w:textDirection w:val="lrTb"/>
            <w:noWrap w:val="false"/>
          </w:tcPr>
          <w:p>
            <w:pPr>
              <w:pStyle w:val="1208"/>
            </w:pPr>
            <w:r/>
            <w:r/>
          </w:p>
        </w:tc>
        <w:tc>
          <w:tcPr>
            <w:tcW w:w="1154" w:type="dxa"/>
            <w:vAlign w:val="top"/>
            <w:textDirection w:val="lrTb"/>
            <w:noWrap w:val="false"/>
          </w:tcPr>
          <w:p>
            <w:pPr>
              <w:pStyle w:val="1208"/>
            </w:pPr>
            <w:r/>
            <w:r/>
          </w:p>
        </w:tc>
        <w:tc>
          <w:tcPr>
            <w:tcW w:w="1273" w:type="dxa"/>
            <w:vAlign w:val="top"/>
            <w:textDirection w:val="lrTb"/>
            <w:noWrap w:val="false"/>
          </w:tcPr>
          <w:p>
            <w:pPr>
              <w:pStyle w:val="1208"/>
            </w:pPr>
            <w:r/>
            <w:r/>
          </w:p>
        </w:tc>
        <w:tc>
          <w:tcPr>
            <w:tcW w:w="1559" w:type="dxa"/>
            <w:vAlign w:val="top"/>
            <w:textDirection w:val="lrTb"/>
            <w:noWrap w:val="false"/>
          </w:tcPr>
          <w:p>
            <w:pPr>
              <w:pStyle w:val="1208"/>
            </w:pPr>
            <w:r/>
            <w:r/>
          </w:p>
        </w:tc>
        <w:tc>
          <w:tcPr>
            <w:tcW w:w="856" w:type="dxa"/>
            <w:vAlign w:val="top"/>
            <w:textDirection w:val="lrTb"/>
            <w:noWrap w:val="false"/>
          </w:tcPr>
          <w:p>
            <w:pPr>
              <w:pStyle w:val="1208"/>
            </w:pPr>
            <w:r/>
            <w:r/>
          </w:p>
        </w:tc>
      </w:tr>
      <w:tr>
        <w:trPr>
          <w:trHeight w:val="472"/>
        </w:trPr>
        <w:tc>
          <w:tcPr>
            <w:tcW w:w="830" w:type="dxa"/>
            <w:vAlign w:val="top"/>
            <w:textDirection w:val="lrTb"/>
            <w:noWrap w:val="false"/>
          </w:tcPr>
          <w:p>
            <w:pPr>
              <w:pStyle w:val="1208"/>
              <w:rPr>
                <w:rFonts w:eastAsia="Times New Roman"/>
              </w:rPr>
            </w:pPr>
            <w:r>
              <w:rPr>
                <w:rFonts w:eastAsia="Times New Roman"/>
              </w:rPr>
              <w:t xml:space="preserve">3</w:t>
            </w:r>
            <w:r/>
          </w:p>
        </w:tc>
        <w:tc>
          <w:tcPr>
            <w:tcW w:w="2406" w:type="dxa"/>
            <w:vAlign w:val="top"/>
            <w:textDirection w:val="lrTb"/>
            <w:noWrap w:val="false"/>
          </w:tcPr>
          <w:p>
            <w:pPr>
              <w:pStyle w:val="1208"/>
            </w:pPr>
            <w:r/>
            <w:r/>
          </w:p>
        </w:tc>
        <w:tc>
          <w:tcPr>
            <w:tcW w:w="823" w:type="dxa"/>
            <w:vAlign w:val="top"/>
            <w:textDirection w:val="lrTb"/>
            <w:noWrap w:val="false"/>
          </w:tcPr>
          <w:p>
            <w:pPr>
              <w:pStyle w:val="1208"/>
            </w:pPr>
            <w:r/>
            <w:r/>
          </w:p>
        </w:tc>
        <w:tc>
          <w:tcPr>
            <w:tcW w:w="1154" w:type="dxa"/>
            <w:vAlign w:val="top"/>
            <w:textDirection w:val="lrTb"/>
            <w:noWrap w:val="false"/>
          </w:tcPr>
          <w:p>
            <w:pPr>
              <w:pStyle w:val="1208"/>
            </w:pPr>
            <w:r/>
            <w:r/>
          </w:p>
        </w:tc>
        <w:tc>
          <w:tcPr>
            <w:tcW w:w="1273" w:type="dxa"/>
            <w:vAlign w:val="top"/>
            <w:textDirection w:val="lrTb"/>
            <w:noWrap w:val="false"/>
          </w:tcPr>
          <w:p>
            <w:pPr>
              <w:pStyle w:val="1208"/>
            </w:pPr>
            <w:r/>
            <w:r/>
          </w:p>
        </w:tc>
        <w:tc>
          <w:tcPr>
            <w:tcW w:w="1559" w:type="dxa"/>
            <w:vAlign w:val="top"/>
            <w:textDirection w:val="lrTb"/>
            <w:noWrap w:val="false"/>
          </w:tcPr>
          <w:p>
            <w:pPr>
              <w:pStyle w:val="1208"/>
            </w:pPr>
            <w:r/>
            <w:r/>
          </w:p>
        </w:tc>
        <w:tc>
          <w:tcPr>
            <w:tcW w:w="856" w:type="dxa"/>
            <w:vAlign w:val="top"/>
            <w:textDirection w:val="lrTb"/>
            <w:noWrap w:val="false"/>
          </w:tcPr>
          <w:p>
            <w:pPr>
              <w:pStyle w:val="1208"/>
            </w:pPr>
            <w:r/>
            <w:r/>
          </w:p>
        </w:tc>
      </w:tr>
      <w:tr>
        <w:trPr>
          <w:trHeight w:val="472"/>
        </w:trPr>
        <w:tc>
          <w:tcPr>
            <w:tcW w:w="830" w:type="dxa"/>
            <w:vAlign w:val="top"/>
            <w:textDirection w:val="lrTb"/>
            <w:noWrap w:val="false"/>
          </w:tcPr>
          <w:p>
            <w:pPr>
              <w:pStyle w:val="1208"/>
            </w:pPr>
            <w:r>
              <w:rPr>
                <w:position w:val="2"/>
              </w:rPr>
              <w:t xml:space="preserve">…</w:t>
            </w:r>
            <w:r/>
          </w:p>
        </w:tc>
        <w:tc>
          <w:tcPr>
            <w:tcW w:w="2406" w:type="dxa"/>
            <w:vAlign w:val="top"/>
            <w:textDirection w:val="lrTb"/>
            <w:noWrap w:val="false"/>
          </w:tcPr>
          <w:p>
            <w:pPr>
              <w:pStyle w:val="1208"/>
            </w:pPr>
            <w:r/>
            <w:r/>
          </w:p>
        </w:tc>
        <w:tc>
          <w:tcPr>
            <w:tcW w:w="823" w:type="dxa"/>
            <w:vAlign w:val="top"/>
            <w:textDirection w:val="lrTb"/>
            <w:noWrap w:val="false"/>
          </w:tcPr>
          <w:p>
            <w:pPr>
              <w:pStyle w:val="1208"/>
            </w:pPr>
            <w:r/>
            <w:r/>
          </w:p>
        </w:tc>
        <w:tc>
          <w:tcPr>
            <w:tcW w:w="1154" w:type="dxa"/>
            <w:vAlign w:val="top"/>
            <w:textDirection w:val="lrTb"/>
            <w:noWrap w:val="false"/>
          </w:tcPr>
          <w:p>
            <w:pPr>
              <w:pStyle w:val="1208"/>
            </w:pPr>
            <w:r/>
            <w:r/>
          </w:p>
        </w:tc>
        <w:tc>
          <w:tcPr>
            <w:tcW w:w="1273" w:type="dxa"/>
            <w:vAlign w:val="top"/>
            <w:textDirection w:val="lrTb"/>
            <w:noWrap w:val="false"/>
          </w:tcPr>
          <w:p>
            <w:pPr>
              <w:pStyle w:val="1208"/>
            </w:pPr>
            <w:r/>
            <w:r/>
          </w:p>
        </w:tc>
        <w:tc>
          <w:tcPr>
            <w:tcW w:w="1559" w:type="dxa"/>
            <w:vAlign w:val="top"/>
            <w:textDirection w:val="lrTb"/>
            <w:noWrap w:val="false"/>
          </w:tcPr>
          <w:p>
            <w:pPr>
              <w:pStyle w:val="1208"/>
            </w:pPr>
            <w:r/>
            <w:r/>
          </w:p>
        </w:tc>
        <w:tc>
          <w:tcPr>
            <w:tcW w:w="856" w:type="dxa"/>
            <w:vAlign w:val="top"/>
            <w:textDirection w:val="lrTb"/>
            <w:noWrap w:val="false"/>
          </w:tcPr>
          <w:p>
            <w:pPr>
              <w:pStyle w:val="1208"/>
            </w:pPr>
            <w:r/>
            <w:r/>
          </w:p>
        </w:tc>
      </w:tr>
      <w:tr>
        <w:trPr>
          <w:trHeight w:val="464"/>
        </w:trPr>
        <w:tc>
          <w:tcPr>
            <w:gridSpan w:val="7"/>
            <w:tcW w:w="8901" w:type="dxa"/>
            <w:vAlign w:val="top"/>
            <w:textDirection w:val="lrTb"/>
            <w:noWrap w:val="false"/>
          </w:tcPr>
          <w:p>
            <w:pPr>
              <w:pStyle w:val="1208"/>
            </w:pPr>
            <w:r>
              <w:rPr>
                <w:spacing w:val="18"/>
              </w:rPr>
              <w:t xml:space="preserve">合计金额：人民币（小写：元）</w:t>
            </w:r>
            <w:r/>
          </w:p>
        </w:tc>
      </w:tr>
    </w:tbl>
    <w:p>
      <w:pPr>
        <w:pStyle w:val="1208"/>
      </w:pPr>
      <w:r/>
      <w:r/>
    </w:p>
    <w:p>
      <w:pPr>
        <w:pStyle w:val="1208"/>
      </w:pPr>
      <w:r/>
      <w:r/>
    </w:p>
    <w:p>
      <w:pPr>
        <w:pStyle w:val="1208"/>
      </w:pPr>
      <w:r>
        <w:t xml:space="preserve">投标人（公章</w:t>
      </w:r>
      <w:r>
        <w:rPr>
          <w:spacing w:val="1"/>
        </w:rPr>
        <w:t xml:space="preserve">）：</w:t>
      </w:r>
      <w:r/>
    </w:p>
    <w:p>
      <w:pPr>
        <w:pStyle w:val="1208"/>
      </w:pPr>
      <w:r>
        <w:rPr>
          <w:spacing w:val="-1"/>
        </w:rPr>
        <w:t xml:space="preserve">法定代表人或代理人（签字或盖章</w:t>
      </w:r>
      <w:r>
        <w:rPr>
          <w:spacing w:val="4"/>
        </w:rPr>
        <w:t xml:space="preserve">）：</w:t>
      </w:r>
      <w:r/>
    </w:p>
    <w:p>
      <w:pPr>
        <w:pStyle w:val="1208"/>
      </w:pPr>
      <w:r>
        <w:rPr>
          <w:spacing w:val="-11"/>
        </w:rPr>
        <w:t xml:space="preserve">日期：年月日</w:t>
      </w:r>
      <w:r/>
    </w:p>
    <w:p>
      <w:pPr>
        <w:pStyle w:val="1208"/>
      </w:pPr>
      <w:r/>
      <w:r/>
    </w:p>
    <w:p>
      <w:pPr>
        <w:pStyle w:val="1208"/>
      </w:pPr>
      <w:r/>
      <w:r/>
    </w:p>
    <w:p>
      <w:pPr>
        <w:pStyle w:val="1208"/>
      </w:pPr>
      <w:r/>
      <w:r/>
    </w:p>
    <w:p>
      <w:pPr>
        <w:pStyle w:val="1208"/>
      </w:pPr>
      <w:r/>
      <w:r/>
    </w:p>
    <w:p>
      <w:pPr>
        <w:pStyle w:val="1208"/>
      </w:pPr>
      <w:r/>
      <w:r/>
    </w:p>
    <w:p>
      <w:pPr>
        <w:pStyle w:val="1208"/>
      </w:pPr>
      <w:r>
        <w:rPr>
          <w:spacing w:val="-16"/>
        </w:rPr>
        <w:t xml:space="preserve">注：</w:t>
      </w:r>
      <w:r/>
    </w:p>
    <w:p>
      <w:pPr>
        <w:pStyle w:val="1208"/>
      </w:pPr>
      <w:r>
        <w:rPr>
          <w:rFonts w:eastAsia="Times New Roman"/>
          <w:spacing w:val="-1"/>
        </w:rPr>
        <w:t xml:space="preserve">1</w:t>
      </w:r>
      <w:r>
        <w:rPr>
          <w:spacing w:val="-1"/>
        </w:rPr>
        <w:t xml:space="preserve">、“投标报价分析表”合计金额应当与“开标一览表”投标总价相等，如不相等，则</w:t>
      </w:r>
      <w:r>
        <w:rPr>
          <w:spacing w:val="-2"/>
        </w:rPr>
        <w:t xml:space="preserve">以“开标一览表”为准。如有出现漏报、错报或未报项,均由投标单位自行承担，采购单位不再另行支付其他费用。</w:t>
      </w:r>
      <w:r/>
    </w:p>
    <w:p>
      <w:pPr>
        <w:pStyle w:val="1208"/>
      </w:pPr>
      <w:r>
        <w:rPr>
          <w:rFonts w:eastAsia="Times New Roman"/>
          <w:spacing w:val="-3"/>
        </w:rPr>
        <w:t xml:space="preserve">2</w:t>
      </w:r>
      <w:r>
        <w:rPr>
          <w:spacing w:val="-3"/>
        </w:rPr>
        <w:t xml:space="preserve">、投标报价分析表的表格投标人可视实际情</w:t>
      </w:r>
      <w:r>
        <w:t xml:space="preserve">况自行调整。</w:t>
      </w:r>
      <w:bookmarkEnd w:id="76"/>
      <w:r/>
      <w:r/>
    </w:p>
    <w:p>
      <w:pPr>
        <w:pStyle w:val="1011"/>
        <w:spacing w:line="220" w:lineRule="auto"/>
        <w:rPr>
          <w:rFonts w:ascii="宋体" w:hAnsi="宋体" w:cs="宋体"/>
        </w:rPr>
        <w:sectPr>
          <w:headerReference w:type="default" r:id="rId13"/>
          <w:footnotePr/>
          <w:endnotePr/>
          <w:type w:val="nextPage"/>
          <w:pgSz w:w="11907" w:h="16839" w:orient="portrait"/>
          <w:pgMar w:top="921" w:right="1106" w:bottom="676" w:left="1022" w:header="601" w:footer="511" w:gutter="0"/>
          <w:cols w:num="1" w:sep="0" w:space="720" w:equalWidth="1"/>
          <w:docGrid w:linePitch="360"/>
        </w:sectPr>
      </w:pPr>
      <w:r>
        <w:rPr>
          <w:rFonts w:ascii="宋体" w:hAnsi="宋体" w:cs="宋体"/>
        </w:rPr>
      </w:r>
      <w:r/>
    </w:p>
    <w:p>
      <w:pPr>
        <w:pStyle w:val="1011"/>
        <w:ind w:left="37"/>
        <w:spacing w:before="157" w:line="221" w:lineRule="auto"/>
        <w:rPr>
          <w:rFonts w:ascii="宋体" w:hAnsi="宋体" w:cs="宋体"/>
        </w:rPr>
      </w:pPr>
      <w:r/>
      <w:bookmarkStart w:id="77" w:name="OLE_LINK69"/>
      <w:r>
        <w:rPr>
          <w:rFonts w:ascii="宋体" w:hAnsi="宋体" w:cs="宋体"/>
          <w:b/>
          <w:bCs/>
          <w:spacing w:val="-3"/>
        </w:rPr>
        <w:t xml:space="preserve">格式5、具有履行合同所必需的设备和专业技术能力声明函</w:t>
      </w:r>
      <w:r>
        <w:rPr>
          <w:rFonts w:ascii="宋体" w:hAnsi="宋体" w:cs="宋体"/>
        </w:rPr>
      </w:r>
      <w:r/>
    </w:p>
    <w:p>
      <w:pPr>
        <w:pStyle w:val="1182"/>
        <w:spacing w:line="385" w:lineRule="auto"/>
      </w:pPr>
      <w:r/>
      <w:r/>
    </w:p>
    <w:p>
      <w:pPr>
        <w:pStyle w:val="1011"/>
        <w:ind w:left="2542"/>
        <w:spacing w:before="69" w:line="221" w:lineRule="auto"/>
        <w:rPr>
          <w:rFonts w:ascii="宋体" w:hAnsi="宋体" w:cs="宋体"/>
        </w:rPr>
      </w:pPr>
      <w:r>
        <w:rPr>
          <w:rFonts w:ascii="宋体" w:hAnsi="宋体" w:cs="宋体"/>
          <w:b/>
          <w:bCs/>
          <w:spacing w:val="-2"/>
        </w:rPr>
        <w:t xml:space="preserve">具有履行合同所必需的设备和专业技术能力声明函</w:t>
      </w:r>
      <w:r>
        <w:rPr>
          <w:rFonts w:ascii="宋体" w:hAnsi="宋体" w:cs="宋体"/>
        </w:rPr>
      </w:r>
      <w:r/>
    </w:p>
    <w:p>
      <w:pPr>
        <w:pStyle w:val="1182"/>
        <w:spacing w:line="456" w:lineRule="auto"/>
      </w:pPr>
      <w:r/>
      <w:r/>
    </w:p>
    <w:p>
      <w:pPr>
        <w:pStyle w:val="1011"/>
        <w:ind w:left="41"/>
        <w:spacing w:before="69" w:line="221" w:lineRule="auto"/>
        <w:rPr>
          <w:rFonts w:ascii="宋体" w:hAnsi="宋体" w:cs="宋体"/>
        </w:rPr>
      </w:pPr>
      <w:r>
        <w:rPr>
          <w:rFonts w:ascii="宋体" w:hAnsi="宋体" w:cs="宋体"/>
          <w:spacing w:val="-1"/>
          <w:u w:val="single"/>
        </w:rPr>
        <w:t xml:space="preserve">苏州常发工程咨询有限公司</w:t>
      </w:r>
      <w:r>
        <w:rPr>
          <w:rFonts w:ascii="宋体" w:hAnsi="宋体" w:cs="宋体"/>
          <w:spacing w:val="-1"/>
        </w:rPr>
        <w:t xml:space="preserve">：</w:t>
      </w:r>
      <w:r>
        <w:rPr>
          <w:rFonts w:ascii="宋体" w:hAnsi="宋体" w:cs="宋体"/>
        </w:rPr>
      </w:r>
      <w:r/>
    </w:p>
    <w:p>
      <w:pPr>
        <w:pStyle w:val="1011"/>
        <w:jc w:val="right"/>
        <w:spacing w:before="216" w:line="221" w:lineRule="auto"/>
        <w:rPr>
          <w:rFonts w:ascii="宋体" w:hAnsi="宋体" w:cs="宋体"/>
        </w:rPr>
      </w:pPr>
      <w:r>
        <w:rPr>
          <w:rFonts w:ascii="宋体" w:hAnsi="宋体" w:cs="宋体"/>
          <w:spacing w:val="1"/>
        </w:rPr>
        <w:t xml:space="preserve">我单位 </w:t>
      </w:r>
      <w:r>
        <w:rPr>
          <w:rFonts w:ascii="宋体" w:hAnsi="宋体" w:cs="宋体"/>
          <w:spacing w:val="1"/>
          <w:u w:val="single"/>
        </w:rPr>
        <w:t xml:space="preserve">（投标人名称） </w:t>
      </w:r>
      <w:r>
        <w:rPr>
          <w:rFonts w:ascii="宋体" w:hAnsi="宋体" w:cs="宋体"/>
          <w:spacing w:val="1"/>
        </w:rPr>
        <w:t xml:space="preserve">郑重声明：我单位具有履行本项采购合同</w:t>
      </w:r>
      <w:r>
        <w:rPr>
          <w:rFonts w:ascii="宋体" w:hAnsi="宋体" w:cs="宋体"/>
        </w:rPr>
        <w:t xml:space="preserve">所必需的设备和专业技术能力。</w:t>
      </w:r>
      <w:r/>
    </w:p>
    <w:p>
      <w:pPr>
        <w:pStyle w:val="1182"/>
        <w:spacing w:line="307" w:lineRule="auto"/>
      </w:pPr>
      <w:r/>
      <w:r/>
    </w:p>
    <w:p>
      <w:pPr>
        <w:pStyle w:val="1182"/>
        <w:spacing w:line="307" w:lineRule="auto"/>
      </w:pPr>
      <w:r/>
      <w:r/>
    </w:p>
    <w:p>
      <w:pPr>
        <w:pStyle w:val="1182"/>
        <w:spacing w:line="308" w:lineRule="auto"/>
      </w:pPr>
      <w:r/>
      <w:r/>
    </w:p>
    <w:p>
      <w:pPr>
        <w:pStyle w:val="1011"/>
        <w:ind w:left="461"/>
        <w:spacing w:before="68" w:line="221" w:lineRule="auto"/>
        <w:rPr>
          <w:rFonts w:ascii="宋体" w:hAnsi="宋体" w:cs="宋体"/>
        </w:rPr>
      </w:pPr>
      <w:r>
        <w:rPr>
          <w:rFonts w:ascii="宋体" w:hAnsi="宋体" w:cs="宋体"/>
          <w:spacing w:val="-4"/>
        </w:rPr>
        <w:t xml:space="preserve">声明人（公章</w:t>
      </w:r>
      <w:r>
        <w:rPr>
          <w:rFonts w:ascii="宋体" w:hAnsi="宋体" w:cs="宋体"/>
        </w:rPr>
        <w:t xml:space="preserve">）：</w:t>
      </w:r>
      <w:r/>
    </w:p>
    <w:p>
      <w:pPr>
        <w:pStyle w:val="1011"/>
        <w:ind w:left="493"/>
        <w:spacing w:before="217" w:line="221" w:lineRule="auto"/>
        <w:rPr>
          <w:rFonts w:ascii="宋体" w:hAnsi="宋体" w:cs="宋体"/>
        </w:rPr>
      </w:pPr>
      <w:r>
        <w:rPr>
          <w:rFonts w:ascii="宋体" w:hAnsi="宋体" w:cs="宋体"/>
          <w:spacing w:val="-11"/>
        </w:rPr>
        <w:t xml:space="preserve">日期：年月日</w:t>
      </w:r>
      <w:bookmarkEnd w:id="77"/>
      <w:r>
        <w:rPr>
          <w:rFonts w:ascii="宋体" w:hAnsi="宋体" w:cs="宋体"/>
        </w:rPr>
      </w:r>
      <w:r/>
    </w:p>
    <w:p>
      <w:pPr>
        <w:pStyle w:val="1011"/>
        <w:spacing w:line="221" w:lineRule="auto"/>
        <w:rPr>
          <w:rFonts w:ascii="宋体" w:hAnsi="宋体" w:cs="宋体"/>
        </w:rPr>
        <w:sectPr>
          <w:headerReference w:type="default" r:id="rId14"/>
          <w:footnotePr/>
          <w:endnotePr/>
          <w:type w:val="nextPage"/>
          <w:pgSz w:w="11907" w:h="16839" w:orient="portrait"/>
          <w:pgMar w:top="921" w:right="1060" w:bottom="676" w:left="1104" w:header="601" w:footer="511" w:gutter="0"/>
          <w:cols w:num="1" w:sep="0" w:space="720" w:equalWidth="1"/>
          <w:docGrid w:linePitch="360"/>
        </w:sectPr>
      </w:pPr>
      <w:r>
        <w:rPr>
          <w:rFonts w:ascii="宋体" w:hAnsi="宋体" w:cs="宋体"/>
        </w:rPr>
      </w:r>
      <w:r/>
    </w:p>
    <w:p>
      <w:pPr>
        <w:pStyle w:val="1011"/>
        <w:ind w:left="37"/>
        <w:spacing w:before="157" w:line="221" w:lineRule="auto"/>
        <w:rPr>
          <w:rFonts w:ascii="宋体" w:hAnsi="宋体" w:cs="宋体"/>
        </w:rPr>
      </w:pPr>
      <w:r/>
      <w:bookmarkStart w:id="78" w:name="OLE_LINK70"/>
      <w:r>
        <w:rPr>
          <w:rFonts w:ascii="宋体" w:hAnsi="宋体" w:cs="宋体"/>
          <w:b/>
          <w:bCs/>
          <w:spacing w:val="-4"/>
        </w:rPr>
        <w:t xml:space="preserve">格式6、无重大违法记录声明</w:t>
      </w:r>
      <w:r>
        <w:rPr>
          <w:rFonts w:ascii="宋体" w:hAnsi="宋体" w:cs="宋体"/>
        </w:rPr>
      </w:r>
      <w:r/>
    </w:p>
    <w:p>
      <w:pPr>
        <w:pStyle w:val="1182"/>
        <w:spacing w:line="270" w:lineRule="auto"/>
      </w:pPr>
      <w:r/>
      <w:r/>
    </w:p>
    <w:p>
      <w:pPr>
        <w:pStyle w:val="1182"/>
        <w:spacing w:line="271" w:lineRule="auto"/>
      </w:pPr>
      <w:r/>
      <w:r/>
    </w:p>
    <w:p>
      <w:pPr>
        <w:pStyle w:val="1011"/>
        <w:ind w:left="3907"/>
        <w:spacing w:before="68" w:line="221" w:lineRule="auto"/>
        <w:rPr>
          <w:rFonts w:ascii="宋体" w:hAnsi="宋体" w:cs="宋体"/>
        </w:rPr>
      </w:pPr>
      <w:r>
        <w:rPr>
          <w:rFonts w:ascii="宋体" w:hAnsi="宋体" w:cs="宋体"/>
          <w:b/>
          <w:bCs/>
          <w:spacing w:val="-3"/>
        </w:rPr>
        <w:t xml:space="preserve">无重大违法记录声明</w:t>
      </w:r>
      <w:r>
        <w:rPr>
          <w:rFonts w:ascii="宋体" w:hAnsi="宋体" w:cs="宋体"/>
        </w:rPr>
      </w:r>
      <w:r/>
    </w:p>
    <w:p>
      <w:pPr>
        <w:pStyle w:val="1182"/>
        <w:spacing w:line="305" w:lineRule="auto"/>
      </w:pPr>
      <w:r/>
      <w:r/>
    </w:p>
    <w:p>
      <w:pPr>
        <w:pStyle w:val="1182"/>
        <w:spacing w:line="306" w:lineRule="auto"/>
      </w:pPr>
      <w:r/>
      <w:r/>
    </w:p>
    <w:p>
      <w:pPr>
        <w:pStyle w:val="1011"/>
        <w:ind w:left="41"/>
        <w:spacing w:before="69" w:line="221" w:lineRule="auto"/>
        <w:rPr>
          <w:rFonts w:ascii="宋体" w:hAnsi="宋体" w:cs="宋体"/>
        </w:rPr>
      </w:pPr>
      <w:r>
        <w:rPr>
          <w:rFonts w:ascii="宋体" w:hAnsi="宋体" w:cs="宋体"/>
          <w:spacing w:val="-1"/>
          <w:u w:val="single"/>
        </w:rPr>
        <w:t xml:space="preserve">苏州常发工程咨询有限公司</w:t>
      </w:r>
      <w:r>
        <w:rPr>
          <w:rFonts w:ascii="宋体" w:hAnsi="宋体" w:cs="宋体"/>
          <w:spacing w:val="-1"/>
        </w:rPr>
        <w:t xml:space="preserve">：</w:t>
      </w:r>
      <w:r>
        <w:rPr>
          <w:rFonts w:ascii="宋体" w:hAnsi="宋体" w:cs="宋体"/>
        </w:rPr>
      </w:r>
      <w:r/>
    </w:p>
    <w:p>
      <w:pPr>
        <w:pStyle w:val="1011"/>
        <w:ind w:left="28" w:right="25" w:firstLine="535"/>
        <w:spacing w:before="218" w:line="411" w:lineRule="auto"/>
        <w:tabs>
          <w:tab w:val="left" w:pos="148" w:leader="none"/>
        </w:tabs>
        <w:rPr>
          <w:rFonts w:ascii="宋体" w:hAnsi="宋体" w:cs="宋体"/>
        </w:rPr>
      </w:pPr>
      <w:r>
        <w:rPr>
          <w:rFonts w:ascii="宋体" w:hAnsi="宋体" w:cs="宋体"/>
          <w:spacing w:val="-1"/>
        </w:rPr>
        <w:t xml:space="preserve">我单位 </w:t>
      </w:r>
      <w:r>
        <w:rPr>
          <w:rFonts w:ascii="宋体" w:hAnsi="宋体" w:cs="宋体"/>
          <w:spacing w:val="-1"/>
          <w:u w:val="single"/>
        </w:rPr>
        <w:t xml:space="preserve">   （投标人名称）    </w:t>
      </w:r>
      <w:r>
        <w:rPr>
          <w:rFonts w:ascii="宋体" w:hAnsi="宋体" w:cs="宋体"/>
          <w:spacing w:val="-1"/>
        </w:rPr>
        <w:t xml:space="preserve">郑重声明：参加本次政府采购活动前 </w:t>
      </w:r>
      <w:r>
        <w:rPr>
          <w:rFonts w:ascii="Times New Roman" w:hAnsi="Times New Roman" w:eastAsia="Times New Roman" w:cs="Times New Roman"/>
          <w:spacing w:val="-1"/>
        </w:rPr>
        <w:t xml:space="preserve">3</w:t>
      </w:r>
      <w:r>
        <w:rPr>
          <w:rFonts w:ascii="宋体" w:hAnsi="宋体" w:cs="宋体"/>
          <w:spacing w:val="-1"/>
        </w:rPr>
        <w:t xml:space="preserve">年内，我单位在经营活动中</w:t>
      </w:r>
      <w:r>
        <w:rPr>
          <w:rFonts w:ascii="宋体" w:hAnsi="宋体" w:cs="宋体"/>
          <w:u w:val="single"/>
        </w:rPr>
        <w:tab/>
      </w:r>
      <w:r>
        <w:rPr>
          <w:rFonts w:ascii="宋体" w:hAnsi="宋体" w:cs="宋体"/>
          <w:spacing w:val="-6"/>
          <w:u w:val="single"/>
        </w:rPr>
        <w:t xml:space="preserve">（在下划线上如实填写：有或没有） </w:t>
      </w:r>
      <w:r>
        <w:rPr>
          <w:rFonts w:ascii="宋体" w:hAnsi="宋体" w:cs="宋体"/>
          <w:spacing w:val="-6"/>
        </w:rPr>
        <w:t xml:space="preserve">重大违</w:t>
      </w:r>
      <w:r>
        <w:rPr>
          <w:rFonts w:ascii="宋体" w:hAnsi="宋体" w:cs="宋体"/>
          <w:spacing w:val="-7"/>
        </w:rPr>
        <w:t xml:space="preserve">法记录。</w:t>
      </w:r>
      <w:r>
        <w:rPr>
          <w:rFonts w:ascii="宋体" w:hAnsi="宋体" w:cs="宋体"/>
        </w:rPr>
      </w:r>
      <w:r/>
    </w:p>
    <w:p>
      <w:pPr>
        <w:pStyle w:val="1011"/>
        <w:ind w:left="46" w:right="22" w:firstLine="419"/>
        <w:spacing w:line="413" w:lineRule="auto"/>
        <w:rPr>
          <w:rFonts w:ascii="宋体" w:hAnsi="宋体" w:cs="宋体"/>
        </w:rPr>
      </w:pPr>
      <w:r>
        <w:rPr>
          <w:rFonts w:ascii="宋体" w:hAnsi="宋体" w:cs="宋体"/>
          <w:spacing w:val="-1"/>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s="宋体"/>
        </w:rPr>
      </w:r>
      <w:r/>
    </w:p>
    <w:p>
      <w:pPr>
        <w:pStyle w:val="1182"/>
        <w:spacing w:line="351" w:lineRule="auto"/>
      </w:pPr>
      <w:r/>
      <w:r/>
    </w:p>
    <w:p>
      <w:pPr>
        <w:pStyle w:val="1182"/>
        <w:spacing w:line="352" w:lineRule="auto"/>
      </w:pPr>
      <w:r/>
      <w:r/>
    </w:p>
    <w:p>
      <w:pPr>
        <w:pStyle w:val="1011"/>
        <w:ind w:left="461"/>
        <w:spacing w:before="68" w:line="221" w:lineRule="auto"/>
        <w:rPr>
          <w:rFonts w:ascii="宋体" w:hAnsi="宋体" w:cs="宋体"/>
        </w:rPr>
      </w:pPr>
      <w:r>
        <w:rPr>
          <w:rFonts w:ascii="宋体" w:hAnsi="宋体" w:cs="宋体"/>
          <w:spacing w:val="-4"/>
        </w:rPr>
        <w:t xml:space="preserve">声明人（公章</w:t>
      </w:r>
      <w:r>
        <w:rPr>
          <w:rFonts w:ascii="宋体" w:hAnsi="宋体" w:cs="宋体"/>
        </w:rPr>
        <w:t xml:space="preserve">）：</w:t>
      </w:r>
      <w:r/>
    </w:p>
    <w:p>
      <w:pPr>
        <w:pStyle w:val="1011"/>
        <w:ind w:left="493"/>
        <w:spacing w:before="217" w:line="221" w:lineRule="auto"/>
        <w:rPr>
          <w:rFonts w:ascii="宋体" w:hAnsi="宋体" w:cs="宋体"/>
        </w:rPr>
      </w:pPr>
      <w:r>
        <w:rPr>
          <w:rFonts w:ascii="宋体" w:hAnsi="宋体" w:cs="宋体"/>
          <w:spacing w:val="-11"/>
        </w:rPr>
        <w:t xml:space="preserve">日期：年月日</w:t>
      </w:r>
      <w:bookmarkEnd w:id="78"/>
      <w:r>
        <w:rPr>
          <w:rFonts w:ascii="宋体" w:hAnsi="宋体" w:cs="宋体"/>
        </w:rPr>
      </w:r>
      <w:r/>
    </w:p>
    <w:p>
      <w:pPr>
        <w:pStyle w:val="1011"/>
        <w:spacing w:line="221" w:lineRule="auto"/>
        <w:rPr>
          <w:rFonts w:ascii="宋体" w:hAnsi="宋体" w:cs="宋体"/>
        </w:rPr>
        <w:sectPr>
          <w:headerReference w:type="default" r:id="rId15"/>
          <w:footnotePr/>
          <w:endnotePr/>
          <w:type w:val="nextPage"/>
          <w:pgSz w:w="11907" w:h="16839" w:orient="portrait"/>
          <w:pgMar w:top="921" w:right="1106" w:bottom="676" w:left="1104" w:header="601" w:footer="511" w:gutter="0"/>
          <w:cols w:num="1" w:sep="0" w:space="720" w:equalWidth="1"/>
          <w:docGrid w:linePitch="360"/>
        </w:sectPr>
      </w:pPr>
      <w:r>
        <w:rPr>
          <w:rFonts w:ascii="宋体" w:hAnsi="宋体" w:cs="宋体"/>
        </w:rPr>
      </w:r>
      <w:r/>
    </w:p>
    <w:p>
      <w:pPr>
        <w:pStyle w:val="1011"/>
        <w:ind w:left="37"/>
        <w:spacing w:before="157" w:line="221" w:lineRule="auto"/>
        <w:rPr>
          <w:rFonts w:ascii="宋体" w:hAnsi="宋体" w:cs="宋体"/>
        </w:rPr>
      </w:pPr>
      <w:r/>
      <w:bookmarkStart w:id="79" w:name="OLE_LINK71"/>
      <w:r>
        <w:rPr>
          <w:rFonts w:ascii="宋体" w:hAnsi="宋体" w:cs="宋体"/>
          <w:b/>
          <w:bCs/>
          <w:spacing w:val="-5"/>
        </w:rPr>
        <w:t xml:space="preserve">格式7、关于资格文件的声明函</w:t>
      </w:r>
      <w:r>
        <w:rPr>
          <w:rFonts w:ascii="宋体" w:hAnsi="宋体" w:cs="宋体"/>
        </w:rPr>
      </w:r>
      <w:r/>
    </w:p>
    <w:p>
      <w:pPr>
        <w:pStyle w:val="1182"/>
        <w:spacing w:line="309" w:lineRule="auto"/>
      </w:pPr>
      <w:r/>
      <w:r/>
    </w:p>
    <w:p>
      <w:pPr>
        <w:pStyle w:val="1011"/>
        <w:ind w:left="3806"/>
        <w:spacing w:before="68" w:line="221" w:lineRule="auto"/>
        <w:rPr>
          <w:rFonts w:ascii="宋体" w:hAnsi="宋体" w:cs="宋体"/>
        </w:rPr>
      </w:pPr>
      <w:r>
        <w:rPr>
          <w:rFonts w:ascii="宋体" w:hAnsi="宋体" w:cs="宋体"/>
          <w:b/>
          <w:bCs/>
          <w:spacing w:val="-3"/>
        </w:rPr>
        <w:t xml:space="preserve">关于资格文件的声明函</w:t>
      </w:r>
      <w:r>
        <w:rPr>
          <w:rFonts w:ascii="宋体" w:hAnsi="宋体" w:cs="宋体"/>
        </w:rPr>
      </w:r>
      <w:r/>
    </w:p>
    <w:p>
      <w:pPr>
        <w:pStyle w:val="1011"/>
        <w:ind w:left="461"/>
        <w:spacing w:before="136" w:line="221" w:lineRule="auto"/>
        <w:rPr>
          <w:rFonts w:ascii="宋体" w:hAnsi="宋体" w:cs="宋体"/>
        </w:rPr>
      </w:pPr>
      <w:r>
        <w:rPr>
          <w:rFonts w:ascii="宋体" w:hAnsi="宋体" w:cs="宋体"/>
          <w:spacing w:val="-1"/>
          <w:u w:val="single"/>
        </w:rPr>
        <w:t xml:space="preserve">苏州常发工程咨询有限公司</w:t>
      </w:r>
      <w:r>
        <w:rPr>
          <w:rFonts w:ascii="宋体" w:hAnsi="宋体" w:cs="宋体"/>
          <w:spacing w:val="-1"/>
        </w:rPr>
        <w:t xml:space="preserve">：</w:t>
      </w:r>
      <w:r>
        <w:rPr>
          <w:rFonts w:ascii="宋体" w:hAnsi="宋体" w:cs="宋体"/>
        </w:rPr>
      </w:r>
      <w:r/>
    </w:p>
    <w:p>
      <w:pPr>
        <w:pStyle w:val="1011"/>
        <w:ind w:left="353" w:right="105" w:firstLine="630"/>
        <w:jc w:val="both"/>
        <w:spacing w:before="216" w:line="413" w:lineRule="auto"/>
        <w:rPr>
          <w:rFonts w:ascii="宋体" w:hAnsi="宋体" w:cs="宋体"/>
        </w:rPr>
      </w:pPr>
      <w:r>
        <w:rPr>
          <w:rFonts w:ascii="宋体" w:hAnsi="宋体" w:cs="宋体"/>
        </w:rPr>
        <w:t xml:space="preserve">本公司愿就由贵方组织实施的编号为 </w:t>
      </w:r>
      <w:r>
        <w:rPr>
          <w:rFonts w:ascii="宋体" w:hAnsi="宋体" w:cs="宋体"/>
          <w:spacing w:val="-1"/>
        </w:rPr>
        <w:t xml:space="preserve">号的招标活动进行投标。本公司所提交的</w:t>
      </w:r>
      <w:r>
        <w:rPr>
          <w:rFonts w:ascii="宋体" w:hAnsi="宋体" w:cs="宋体"/>
        </w:rPr>
        <w:t xml:space="preserve">投标文件中所有关于投标资格的文件、证明和陈述均是真实的、准确的。若与真实情况不符</w:t>
      </w:r>
      <w:r>
        <w:rPr>
          <w:rFonts w:ascii="宋体" w:hAnsi="宋体" w:cs="宋体"/>
          <w:spacing w:val="-1"/>
        </w:rPr>
        <w:t xml:space="preserve">，本公司愿意承担由此而产生的一切后果。</w:t>
      </w:r>
      <w:r>
        <w:rPr>
          <w:rFonts w:ascii="宋体" w:hAnsi="宋体" w:cs="宋体"/>
        </w:rPr>
      </w:r>
      <w:r/>
    </w:p>
    <w:p>
      <w:pPr>
        <w:pStyle w:val="1182"/>
        <w:spacing w:line="248" w:lineRule="auto"/>
      </w:pPr>
      <w:r/>
      <w:r/>
    </w:p>
    <w:p>
      <w:pPr>
        <w:pStyle w:val="1182"/>
        <w:spacing w:line="248" w:lineRule="auto"/>
      </w:pPr>
      <w:r/>
      <w:r/>
    </w:p>
    <w:p>
      <w:pPr>
        <w:pStyle w:val="1182"/>
        <w:spacing w:line="249" w:lineRule="auto"/>
      </w:pPr>
      <w:r/>
      <w:r/>
    </w:p>
    <w:p>
      <w:pPr>
        <w:pStyle w:val="1011"/>
        <w:ind w:left="459"/>
        <w:spacing w:before="68" w:line="221" w:lineRule="auto"/>
        <w:rPr>
          <w:rFonts w:ascii="宋体" w:hAnsi="宋体" w:cs="宋体"/>
        </w:rPr>
      </w:pPr>
      <w:r>
        <w:rPr>
          <w:rFonts w:ascii="宋体" w:hAnsi="宋体" w:cs="宋体"/>
          <w:spacing w:val="-4"/>
        </w:rPr>
        <w:t xml:space="preserve">投标人（公章</w:t>
      </w:r>
      <w:r>
        <w:rPr>
          <w:rFonts w:ascii="宋体" w:hAnsi="宋体" w:cs="宋体"/>
          <w:spacing w:val="1"/>
        </w:rPr>
        <w:t xml:space="preserve">）：</w:t>
      </w:r>
      <w:r>
        <w:rPr>
          <w:rFonts w:ascii="宋体" w:hAnsi="宋体" w:cs="宋体"/>
        </w:rPr>
      </w:r>
      <w:r/>
    </w:p>
    <w:p>
      <w:pPr>
        <w:pStyle w:val="1011"/>
        <w:ind w:left="457"/>
        <w:spacing w:before="190" w:line="221" w:lineRule="auto"/>
        <w:rPr>
          <w:rFonts w:ascii="宋体" w:hAnsi="宋体" w:cs="宋体"/>
        </w:rPr>
      </w:pPr>
      <w:r>
        <w:rPr>
          <w:rFonts w:ascii="宋体" w:hAnsi="宋体" w:cs="宋体"/>
          <w:spacing w:val="-1"/>
        </w:rPr>
        <w:t xml:space="preserve">法定代表人或代理人（签字或盖章</w:t>
      </w:r>
      <w:r>
        <w:rPr>
          <w:rFonts w:ascii="宋体" w:hAnsi="宋体" w:cs="宋体"/>
          <w:spacing w:val="4"/>
        </w:rPr>
        <w:t xml:space="preserve">）：</w:t>
      </w:r>
      <w:r>
        <w:rPr>
          <w:rFonts w:ascii="宋体" w:hAnsi="宋体" w:cs="宋体"/>
        </w:rPr>
      </w:r>
      <w:r/>
    </w:p>
    <w:p>
      <w:pPr>
        <w:pStyle w:val="1011"/>
        <w:ind w:left="493"/>
        <w:spacing w:before="189" w:line="221" w:lineRule="auto"/>
        <w:rPr>
          <w:rFonts w:ascii="宋体" w:hAnsi="宋体" w:cs="宋体"/>
        </w:rPr>
      </w:pPr>
      <w:r>
        <w:rPr>
          <w:rFonts w:ascii="宋体" w:hAnsi="宋体" w:cs="宋体"/>
          <w:spacing w:val="-11"/>
        </w:rPr>
        <w:t xml:space="preserve">日期：年月日</w:t>
      </w:r>
      <w:bookmarkEnd w:id="79"/>
      <w:r>
        <w:rPr>
          <w:rFonts w:ascii="宋体" w:hAnsi="宋体" w:cs="宋体"/>
        </w:rPr>
      </w:r>
      <w:r/>
    </w:p>
    <w:p>
      <w:pPr>
        <w:pStyle w:val="1011"/>
        <w:spacing w:line="221" w:lineRule="auto"/>
        <w:rPr>
          <w:rFonts w:ascii="宋体" w:hAnsi="宋体" w:cs="宋体"/>
        </w:rPr>
        <w:sectPr>
          <w:footnotePr/>
          <w:endnotePr/>
          <w:type w:val="nextPage"/>
          <w:pgSz w:w="11907" w:h="16839" w:orient="portrait"/>
          <w:pgMar w:top="921" w:right="1106" w:bottom="676" w:left="1104" w:header="601" w:footer="511" w:gutter="0"/>
          <w:cols w:num="1" w:sep="0" w:space="720" w:equalWidth="1"/>
          <w:docGrid w:linePitch="360"/>
        </w:sectPr>
      </w:pPr>
      <w:r>
        <w:rPr>
          <w:rFonts w:ascii="宋体" w:hAnsi="宋体" w:cs="宋体"/>
        </w:rPr>
      </w:r>
      <w:r/>
    </w:p>
    <w:p>
      <w:pPr>
        <w:pStyle w:val="1011"/>
        <w:ind w:left="37"/>
        <w:spacing w:before="157" w:line="221" w:lineRule="auto"/>
        <w:rPr>
          <w:rFonts w:ascii="宋体" w:hAnsi="宋体" w:cs="宋体"/>
        </w:rPr>
      </w:pPr>
      <w:r/>
      <w:bookmarkStart w:id="80" w:name="OLE_LINK75"/>
      <w:r>
        <w:rPr>
          <w:rFonts w:ascii="宋体" w:hAnsi="宋体" w:cs="宋体"/>
          <w:b/>
          <w:bCs/>
          <w:spacing w:val="-4"/>
        </w:rPr>
        <w:t xml:space="preserve">格式8、投标单位情况表</w:t>
      </w:r>
      <w:r>
        <w:rPr>
          <w:rFonts w:ascii="宋体" w:hAnsi="宋体" w:cs="宋体"/>
        </w:rPr>
      </w:r>
      <w:r/>
    </w:p>
    <w:p>
      <w:pPr>
        <w:pStyle w:val="1011"/>
        <w:ind w:left="4119"/>
        <w:spacing w:before="67" w:line="222" w:lineRule="auto"/>
        <w:rPr>
          <w:rFonts w:ascii="宋体" w:hAnsi="宋体" w:cs="宋体"/>
        </w:rPr>
      </w:pPr>
      <w:r>
        <w:rPr>
          <w:rFonts w:ascii="宋体" w:hAnsi="宋体" w:cs="宋体"/>
          <w:b/>
          <w:bCs/>
          <w:spacing w:val="-3"/>
        </w:rPr>
        <w:t xml:space="preserve">投标单位情况表</w:t>
      </w:r>
      <w:r>
        <w:rPr>
          <w:rFonts w:ascii="宋体" w:hAnsi="宋体" w:cs="宋体"/>
        </w:rPr>
      </w:r>
      <w:r/>
    </w:p>
    <w:p>
      <w:pPr>
        <w:pStyle w:val="1011"/>
        <w:ind w:left="38"/>
        <w:spacing w:before="178" w:line="221" w:lineRule="auto"/>
        <w:rPr>
          <w:rFonts w:ascii="宋体" w:hAnsi="宋体" w:cs="宋体"/>
        </w:rPr>
      </w:pPr>
      <w:r>
        <w:rPr>
          <w:rFonts w:ascii="宋体" w:hAnsi="宋体" w:cs="宋体"/>
          <w:spacing w:val="-1"/>
        </w:rPr>
        <w:t xml:space="preserve">单位名称（盖章）</w:t>
      </w:r>
      <w:r>
        <w:rPr>
          <w:rFonts w:ascii="宋体" w:hAnsi="宋体" w:cs="宋体"/>
        </w:rPr>
      </w:r>
      <w:r/>
    </w:p>
    <w:p>
      <w:pPr>
        <w:pStyle w:val="1011"/>
        <w:spacing w:line="19" w:lineRule="exact"/>
      </w:pPr>
      <w:r/>
      <w:r/>
    </w:p>
    <w:tbl>
      <w:tblPr>
        <w:tblW w:w="8365" w:type="dxa"/>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975"/>
        <w:gridCol w:w="1754"/>
        <w:gridCol w:w="1361"/>
        <w:gridCol w:w="2275"/>
      </w:tblGrid>
      <w:tr>
        <w:trPr>
          <w:trHeight w:val="450"/>
        </w:trPr>
        <w:tc>
          <w:tcPr>
            <w:tcW w:w="2975" w:type="dxa"/>
            <w:vAlign w:val="top"/>
            <w:textDirection w:val="lrTb"/>
            <w:noWrap w:val="false"/>
          </w:tcPr>
          <w:p>
            <w:pPr>
              <w:pStyle w:val="1198"/>
              <w:ind w:left="116"/>
              <w:spacing w:before="176" w:line="221" w:lineRule="auto"/>
              <w:rPr>
                <w:lang w:eastAsia="en-US"/>
              </w:rPr>
            </w:pPr>
            <w:r>
              <w:rPr>
                <w:spacing w:val="-1"/>
                <w:lang w:eastAsia="en-US"/>
              </w:rPr>
              <w:t xml:space="preserve">法定代表人/负责人</w:t>
            </w:r>
            <w:r>
              <w:rPr>
                <w:lang w:eastAsia="en-US"/>
              </w:rPr>
            </w:r>
            <w:r/>
          </w:p>
        </w:tc>
        <w:tc>
          <w:tcPr>
            <w:tcW w:w="1754" w:type="dxa"/>
            <w:vAlign w:val="top"/>
            <w:textDirection w:val="lrTb"/>
            <w:noWrap w:val="false"/>
          </w:tcPr>
          <w:p>
            <w:pPr>
              <w:pStyle w:val="1011"/>
              <w:rPr>
                <w:rFonts w:eastAsia="Arial"/>
                <w:lang w:eastAsia="en-US"/>
              </w:rPr>
            </w:pPr>
            <w:r>
              <w:rPr>
                <w:rFonts w:eastAsia="Arial"/>
                <w:lang w:eastAsia="en-US"/>
              </w:rPr>
            </w:r>
            <w:r/>
          </w:p>
        </w:tc>
        <w:tc>
          <w:tcPr>
            <w:tcW w:w="1361" w:type="dxa"/>
            <w:vAlign w:val="top"/>
            <w:textDirection w:val="lrTb"/>
            <w:noWrap w:val="false"/>
          </w:tcPr>
          <w:p>
            <w:pPr>
              <w:pStyle w:val="1198"/>
              <w:ind w:left="114"/>
              <w:spacing w:before="175" w:line="222" w:lineRule="auto"/>
              <w:rPr>
                <w:lang w:eastAsia="en-US"/>
              </w:rPr>
            </w:pPr>
            <w:r>
              <w:rPr>
                <w:spacing w:val="-2"/>
                <w:lang w:eastAsia="en-US"/>
              </w:rPr>
              <w:t xml:space="preserve">成立日期</w:t>
            </w:r>
            <w:r>
              <w:rPr>
                <w:lang w:eastAsia="en-US"/>
              </w:rPr>
            </w:r>
            <w:r/>
          </w:p>
        </w:tc>
        <w:tc>
          <w:tcPr>
            <w:tcW w:w="2275" w:type="dxa"/>
            <w:vAlign w:val="top"/>
            <w:textDirection w:val="lrTb"/>
            <w:noWrap w:val="false"/>
          </w:tcPr>
          <w:p>
            <w:pPr>
              <w:pStyle w:val="1011"/>
              <w:rPr>
                <w:rFonts w:eastAsia="Arial"/>
                <w:lang w:eastAsia="en-US"/>
              </w:rPr>
            </w:pPr>
            <w:r>
              <w:rPr>
                <w:rFonts w:eastAsia="Arial"/>
                <w:lang w:eastAsia="en-US"/>
              </w:rPr>
            </w:r>
            <w:r/>
          </w:p>
        </w:tc>
      </w:tr>
      <w:tr>
        <w:trPr>
          <w:trHeight w:val="446"/>
        </w:trPr>
        <w:tc>
          <w:tcPr>
            <w:tcW w:w="2975" w:type="dxa"/>
            <w:vAlign w:val="top"/>
            <w:textDirection w:val="lrTb"/>
            <w:noWrap w:val="false"/>
          </w:tcPr>
          <w:p>
            <w:pPr>
              <w:pStyle w:val="1198"/>
              <w:ind w:left="119"/>
              <w:spacing w:before="169" w:line="231" w:lineRule="auto"/>
              <w:rPr>
                <w:lang w:eastAsia="en-US"/>
              </w:rPr>
            </w:pPr>
            <w:r>
              <w:rPr>
                <w:spacing w:val="-3"/>
                <w:lang w:eastAsia="en-US"/>
              </w:rPr>
              <w:t xml:space="preserve">企业地址</w:t>
            </w:r>
            <w:r>
              <w:rPr>
                <w:lang w:eastAsia="en-US"/>
              </w:rPr>
            </w:r>
            <w:r/>
          </w:p>
        </w:tc>
        <w:tc>
          <w:tcPr>
            <w:tcW w:w="1754" w:type="dxa"/>
            <w:vAlign w:val="top"/>
            <w:textDirection w:val="lrTb"/>
            <w:noWrap w:val="false"/>
          </w:tcPr>
          <w:p>
            <w:pPr>
              <w:pStyle w:val="1011"/>
              <w:rPr>
                <w:rFonts w:eastAsia="Arial"/>
                <w:lang w:eastAsia="en-US"/>
              </w:rPr>
            </w:pPr>
            <w:r>
              <w:rPr>
                <w:rFonts w:eastAsia="Arial"/>
                <w:lang w:eastAsia="en-US"/>
              </w:rPr>
            </w:r>
            <w:r/>
          </w:p>
        </w:tc>
        <w:tc>
          <w:tcPr>
            <w:tcW w:w="1361" w:type="dxa"/>
            <w:vAlign w:val="top"/>
            <w:textDirection w:val="lrTb"/>
            <w:noWrap w:val="false"/>
          </w:tcPr>
          <w:p>
            <w:pPr>
              <w:pStyle w:val="1198"/>
              <w:ind w:left="112"/>
              <w:spacing w:before="168" w:line="221" w:lineRule="auto"/>
              <w:rPr>
                <w:lang w:eastAsia="en-US"/>
              </w:rPr>
            </w:pPr>
            <w:r>
              <w:rPr>
                <w:spacing w:val="-2"/>
                <w:lang w:eastAsia="en-US"/>
              </w:rPr>
              <w:t xml:space="preserve">注册资本</w:t>
            </w:r>
            <w:r>
              <w:rPr>
                <w:lang w:eastAsia="en-US"/>
              </w:rPr>
            </w:r>
            <w:r/>
          </w:p>
        </w:tc>
        <w:tc>
          <w:tcPr>
            <w:tcW w:w="2275" w:type="dxa"/>
            <w:vAlign w:val="top"/>
            <w:textDirection w:val="lrTb"/>
            <w:noWrap w:val="false"/>
          </w:tcPr>
          <w:p>
            <w:pPr>
              <w:pStyle w:val="1198"/>
              <w:ind w:left="122"/>
              <w:spacing w:before="169" w:line="222" w:lineRule="auto"/>
              <w:rPr>
                <w:lang w:eastAsia="en-US"/>
              </w:rPr>
            </w:pPr>
            <w:r>
              <w:rPr>
                <w:spacing w:val="-3"/>
                <w:lang w:eastAsia="en-US"/>
              </w:rPr>
              <w:t xml:space="preserve">万元</w:t>
            </w:r>
            <w:r>
              <w:rPr>
                <w:lang w:eastAsia="en-US"/>
              </w:rPr>
            </w:r>
            <w:r/>
          </w:p>
        </w:tc>
      </w:tr>
      <w:tr>
        <w:trPr>
          <w:trHeight w:val="443"/>
        </w:trPr>
        <w:tc>
          <w:tcPr>
            <w:tcW w:w="2975" w:type="dxa"/>
            <w:vAlign w:val="top"/>
            <w:textDirection w:val="lrTb"/>
            <w:noWrap w:val="false"/>
          </w:tcPr>
          <w:p>
            <w:pPr>
              <w:pStyle w:val="1198"/>
              <w:ind w:left="117"/>
              <w:spacing w:before="169" w:line="222" w:lineRule="auto"/>
              <w:rPr>
                <w:lang w:eastAsia="en-US"/>
              </w:rPr>
            </w:pPr>
            <w:r>
              <w:rPr>
                <w:spacing w:val="-2"/>
                <w:lang w:eastAsia="en-US"/>
              </w:rPr>
              <w:t xml:space="preserve">经营范围</w:t>
            </w:r>
            <w:r>
              <w:rPr>
                <w:lang w:eastAsia="en-US"/>
              </w:rPr>
            </w:r>
            <w:r/>
          </w:p>
        </w:tc>
        <w:tc>
          <w:tcPr>
            <w:gridSpan w:val="3"/>
            <w:tcW w:w="5390" w:type="dxa"/>
            <w:vAlign w:val="top"/>
            <w:textDirection w:val="lrTb"/>
            <w:noWrap w:val="false"/>
          </w:tcPr>
          <w:p>
            <w:pPr>
              <w:pStyle w:val="1011"/>
              <w:rPr>
                <w:rFonts w:eastAsia="Arial"/>
                <w:lang w:eastAsia="en-US"/>
              </w:rPr>
            </w:pPr>
            <w:r>
              <w:rPr>
                <w:rFonts w:eastAsia="Arial"/>
                <w:lang w:eastAsia="en-US"/>
              </w:rPr>
            </w:r>
            <w:r/>
          </w:p>
        </w:tc>
      </w:tr>
      <w:tr>
        <w:trPr>
          <w:trHeight w:val="1326"/>
        </w:trPr>
        <w:tc>
          <w:tcPr>
            <w:tcW w:w="2975" w:type="dxa"/>
            <w:vAlign w:val="top"/>
            <w:textDirection w:val="lrTb"/>
            <w:noWrap w:val="false"/>
          </w:tcPr>
          <w:p>
            <w:pPr>
              <w:pStyle w:val="1011"/>
              <w:spacing w:line="270" w:lineRule="auto"/>
              <w:rPr>
                <w:rFonts w:eastAsia="Arial"/>
                <w:lang w:eastAsia="en-US"/>
              </w:rPr>
            </w:pPr>
            <w:r>
              <w:rPr>
                <w:rFonts w:eastAsia="Arial"/>
                <w:lang w:eastAsia="en-US"/>
              </w:rPr>
            </w:r>
            <w:r/>
          </w:p>
          <w:p>
            <w:pPr>
              <w:pStyle w:val="1011"/>
              <w:spacing w:line="270" w:lineRule="auto"/>
              <w:rPr>
                <w:rFonts w:eastAsia="Arial"/>
                <w:lang w:eastAsia="en-US"/>
              </w:rPr>
            </w:pPr>
            <w:r>
              <w:rPr>
                <w:rFonts w:eastAsia="Arial"/>
                <w:lang w:eastAsia="en-US"/>
              </w:rPr>
            </w:r>
            <w:r/>
          </w:p>
          <w:p>
            <w:pPr>
              <w:pStyle w:val="1198"/>
              <w:ind w:left="116"/>
              <w:spacing w:before="68" w:line="221" w:lineRule="auto"/>
              <w:rPr>
                <w:lang w:eastAsia="en-US"/>
              </w:rPr>
            </w:pPr>
            <w:r>
              <w:rPr>
                <w:spacing w:val="-2"/>
                <w:lang w:eastAsia="en-US"/>
              </w:rPr>
              <w:t xml:space="preserve">职工人数</w:t>
            </w:r>
            <w:r>
              <w:rPr>
                <w:lang w:eastAsia="en-US"/>
              </w:rPr>
            </w:r>
            <w:r/>
          </w:p>
        </w:tc>
        <w:tc>
          <w:tcPr>
            <w:tcW w:w="1754" w:type="dxa"/>
            <w:vAlign w:val="top"/>
            <w:textDirection w:val="lrTb"/>
            <w:noWrap w:val="false"/>
          </w:tcPr>
          <w:p>
            <w:pPr>
              <w:pStyle w:val="1011"/>
              <w:rPr>
                <w:rFonts w:eastAsia="Arial"/>
                <w:lang w:eastAsia="en-US"/>
              </w:rPr>
            </w:pPr>
            <w:r>
              <w:rPr>
                <w:rFonts w:eastAsia="Arial"/>
                <w:lang w:eastAsia="en-US"/>
              </w:rPr>
            </w:r>
            <w:r/>
          </w:p>
        </w:tc>
        <w:tc>
          <w:tcPr>
            <w:tcW w:w="1361" w:type="dxa"/>
            <w:vAlign w:val="top"/>
            <w:textDirection w:val="lrTb"/>
            <w:noWrap w:val="false"/>
          </w:tcPr>
          <w:p>
            <w:pPr>
              <w:pStyle w:val="1198"/>
              <w:ind w:left="113"/>
              <w:spacing w:before="172" w:line="222" w:lineRule="auto"/>
            </w:pPr>
            <w:r>
              <w:rPr>
                <w:spacing w:val="-1"/>
              </w:rPr>
              <w:t xml:space="preserve">其中：有中</w:t>
            </w:r>
            <w:r/>
          </w:p>
          <w:p>
            <w:pPr>
              <w:pStyle w:val="1198"/>
              <w:ind w:left="111" w:right="193" w:firstLine="6"/>
              <w:spacing w:before="185" w:line="310" w:lineRule="auto"/>
            </w:pPr>
            <w:r>
              <w:rPr>
                <w:spacing w:val="-3"/>
              </w:rPr>
              <w:t xml:space="preserve">高级以上职</w:t>
            </w:r>
            <w:r>
              <w:rPr>
                <w:spacing w:val="-1"/>
              </w:rPr>
              <w:t xml:space="preserve">称的人数</w:t>
            </w:r>
            <w:r/>
          </w:p>
        </w:tc>
        <w:tc>
          <w:tcPr>
            <w:tcW w:w="2275" w:type="dxa"/>
            <w:vAlign w:val="top"/>
            <w:textDirection w:val="lrTb"/>
            <w:noWrap w:val="false"/>
          </w:tcPr>
          <w:p>
            <w:pPr>
              <w:pStyle w:val="1011"/>
              <w:rPr>
                <w:rFonts w:eastAsia="Arial"/>
              </w:rPr>
            </w:pPr>
            <w:r>
              <w:rPr>
                <w:rFonts w:eastAsia="Arial"/>
              </w:rPr>
            </w:r>
            <w:r/>
          </w:p>
        </w:tc>
      </w:tr>
      <w:tr>
        <w:trPr>
          <w:trHeight w:val="443"/>
        </w:trPr>
        <w:tc>
          <w:tcPr>
            <w:tcW w:w="2975" w:type="dxa"/>
            <w:vAlign w:val="top"/>
            <w:textDirection w:val="lrTb"/>
            <w:noWrap w:val="false"/>
          </w:tcPr>
          <w:p>
            <w:pPr>
              <w:pStyle w:val="1198"/>
              <w:ind w:left="124"/>
              <w:spacing w:before="171" w:line="221" w:lineRule="auto"/>
              <w:rPr>
                <w:lang w:eastAsia="en-US"/>
              </w:rPr>
            </w:pPr>
            <w:r>
              <w:rPr>
                <w:spacing w:val="-4"/>
                <w:lang w:eastAsia="en-US"/>
              </w:rPr>
              <w:t xml:space="preserve">资产总计</w:t>
            </w:r>
            <w:r>
              <w:rPr>
                <w:lang w:eastAsia="en-US"/>
              </w:rPr>
            </w:r>
            <w:r/>
          </w:p>
        </w:tc>
        <w:tc>
          <w:tcPr>
            <w:tcW w:w="1754" w:type="dxa"/>
            <w:vAlign w:val="top"/>
            <w:textDirection w:val="lrTb"/>
            <w:noWrap w:val="false"/>
          </w:tcPr>
          <w:p>
            <w:pPr>
              <w:pStyle w:val="1198"/>
              <w:ind w:left="1146"/>
              <w:spacing w:before="170" w:line="222" w:lineRule="auto"/>
              <w:rPr>
                <w:lang w:eastAsia="en-US"/>
              </w:rPr>
            </w:pPr>
            <w:r>
              <w:rPr>
                <w:spacing w:val="-3"/>
                <w:lang w:eastAsia="en-US"/>
              </w:rPr>
              <w:t xml:space="preserve">万元</w:t>
            </w:r>
            <w:r>
              <w:rPr>
                <w:lang w:eastAsia="en-US"/>
              </w:rPr>
            </w:r>
            <w:r/>
          </w:p>
        </w:tc>
        <w:tc>
          <w:tcPr>
            <w:tcW w:w="1361" w:type="dxa"/>
            <w:vAlign w:val="top"/>
            <w:textDirection w:val="lrTb"/>
            <w:noWrap w:val="false"/>
          </w:tcPr>
          <w:p>
            <w:pPr>
              <w:pStyle w:val="1198"/>
              <w:ind w:left="114"/>
              <w:spacing w:before="171" w:line="221" w:lineRule="auto"/>
              <w:rPr>
                <w:lang w:eastAsia="en-US"/>
              </w:rPr>
            </w:pPr>
            <w:r>
              <w:rPr>
                <w:spacing w:val="-2"/>
                <w:lang w:eastAsia="en-US"/>
              </w:rPr>
              <w:t xml:space="preserve">净资产</w:t>
            </w:r>
            <w:r>
              <w:rPr>
                <w:lang w:eastAsia="en-US"/>
              </w:rPr>
            </w:r>
            <w:r/>
          </w:p>
        </w:tc>
        <w:tc>
          <w:tcPr>
            <w:tcW w:w="2275" w:type="dxa"/>
            <w:vAlign w:val="top"/>
            <w:textDirection w:val="lrTb"/>
            <w:noWrap w:val="false"/>
          </w:tcPr>
          <w:p>
            <w:pPr>
              <w:pStyle w:val="1198"/>
              <w:ind w:left="1727"/>
              <w:spacing w:before="170" w:line="222" w:lineRule="auto"/>
              <w:rPr>
                <w:lang w:eastAsia="en-US"/>
              </w:rPr>
            </w:pPr>
            <w:r>
              <w:rPr>
                <w:spacing w:val="-4"/>
                <w:lang w:eastAsia="en-US"/>
              </w:rPr>
              <w:t xml:space="preserve">万元</w:t>
            </w:r>
            <w:r>
              <w:rPr>
                <w:lang w:eastAsia="en-US"/>
              </w:rPr>
            </w:r>
            <w:r/>
          </w:p>
        </w:tc>
      </w:tr>
      <w:tr>
        <w:trPr>
          <w:trHeight w:val="446"/>
        </w:trPr>
        <w:tc>
          <w:tcPr>
            <w:tcW w:w="2975" w:type="dxa"/>
            <w:vAlign w:val="top"/>
            <w:textDirection w:val="lrTb"/>
            <w:noWrap w:val="false"/>
          </w:tcPr>
          <w:p>
            <w:pPr>
              <w:pStyle w:val="1198"/>
              <w:ind w:left="115"/>
              <w:spacing w:before="171" w:line="221" w:lineRule="auto"/>
              <w:rPr>
                <w:lang w:eastAsia="en-US"/>
              </w:rPr>
            </w:pPr>
            <w:r>
              <w:rPr>
                <w:spacing w:val="-2"/>
                <w:lang w:eastAsia="en-US"/>
              </w:rPr>
              <w:t xml:space="preserve">股东权益</w:t>
            </w:r>
            <w:r>
              <w:rPr>
                <w:lang w:eastAsia="en-US"/>
              </w:rPr>
            </w:r>
            <w:r/>
          </w:p>
        </w:tc>
        <w:tc>
          <w:tcPr>
            <w:tcW w:w="1754" w:type="dxa"/>
            <w:vAlign w:val="top"/>
            <w:textDirection w:val="lrTb"/>
            <w:noWrap w:val="false"/>
          </w:tcPr>
          <w:p>
            <w:pPr>
              <w:pStyle w:val="1198"/>
              <w:ind w:left="1146"/>
              <w:spacing w:before="171" w:line="222" w:lineRule="auto"/>
              <w:rPr>
                <w:lang w:eastAsia="en-US"/>
              </w:rPr>
            </w:pPr>
            <w:r>
              <w:rPr>
                <w:spacing w:val="-3"/>
                <w:lang w:eastAsia="en-US"/>
              </w:rPr>
              <w:t xml:space="preserve">万元</w:t>
            </w:r>
            <w:r>
              <w:rPr>
                <w:lang w:eastAsia="en-US"/>
              </w:rPr>
            </w:r>
            <w:r/>
          </w:p>
        </w:tc>
        <w:tc>
          <w:tcPr>
            <w:tcW w:w="1361" w:type="dxa"/>
            <w:vAlign w:val="top"/>
            <w:textDirection w:val="lrTb"/>
            <w:noWrap w:val="false"/>
          </w:tcPr>
          <w:p>
            <w:pPr>
              <w:pStyle w:val="1198"/>
              <w:ind w:left="113"/>
              <w:spacing w:before="171" w:line="221" w:lineRule="auto"/>
              <w:rPr>
                <w:lang w:eastAsia="en-US"/>
              </w:rPr>
            </w:pPr>
            <w:r>
              <w:rPr>
                <w:spacing w:val="-2"/>
                <w:lang w:eastAsia="en-US"/>
              </w:rPr>
              <w:t xml:space="preserve">销售收入</w:t>
            </w:r>
            <w:r>
              <w:rPr>
                <w:lang w:eastAsia="en-US"/>
              </w:rPr>
            </w:r>
            <w:r/>
          </w:p>
        </w:tc>
        <w:tc>
          <w:tcPr>
            <w:tcW w:w="2275" w:type="dxa"/>
            <w:vAlign w:val="top"/>
            <w:textDirection w:val="lrTb"/>
            <w:noWrap w:val="false"/>
          </w:tcPr>
          <w:p>
            <w:pPr>
              <w:pStyle w:val="1198"/>
              <w:ind w:left="119"/>
              <w:spacing w:before="171" w:line="221" w:lineRule="auto"/>
              <w:rPr>
                <w:lang w:eastAsia="en-US"/>
              </w:rPr>
            </w:pPr>
            <w:r>
              <w:rPr>
                <w:spacing w:val="-4"/>
                <w:lang w:eastAsia="en-US"/>
              </w:rPr>
              <w:t xml:space="preserve">202</w:t>
            </w:r>
            <w:r>
              <w:rPr>
                <w:rFonts w:hint="eastAsia" w:eastAsia="Arial"/>
                <w:spacing w:val="-4"/>
              </w:rPr>
              <w:t xml:space="preserve">4</w:t>
            </w:r>
            <w:r>
              <w:rPr>
                <w:spacing w:val="-4"/>
                <w:lang w:eastAsia="en-US"/>
              </w:rPr>
              <w:t xml:space="preserve">年万元</w:t>
            </w:r>
            <w:r>
              <w:rPr>
                <w:lang w:eastAsia="en-US"/>
              </w:rPr>
            </w:r>
            <w:r/>
          </w:p>
        </w:tc>
      </w:tr>
      <w:tr>
        <w:trPr>
          <w:trHeight w:val="568"/>
        </w:trPr>
        <w:tc>
          <w:tcPr>
            <w:tcW w:w="2975" w:type="dxa"/>
            <w:vAlign w:val="top"/>
            <w:textDirection w:val="lrTb"/>
            <w:noWrap w:val="false"/>
          </w:tcPr>
          <w:p>
            <w:pPr>
              <w:pStyle w:val="1198"/>
              <w:ind w:left="120"/>
              <w:spacing w:before="233" w:line="222" w:lineRule="auto"/>
              <w:rPr>
                <w:lang w:eastAsia="en-US"/>
              </w:rPr>
            </w:pPr>
            <w:r>
              <w:rPr>
                <w:spacing w:val="-3"/>
                <w:lang w:eastAsia="en-US"/>
              </w:rPr>
              <w:t xml:space="preserve">实现利润</w:t>
            </w:r>
            <w:r>
              <w:rPr>
                <w:lang w:eastAsia="en-US"/>
              </w:rPr>
            </w:r>
            <w:r/>
          </w:p>
        </w:tc>
        <w:tc>
          <w:tcPr>
            <w:tcW w:w="1754" w:type="dxa"/>
            <w:vAlign w:val="top"/>
            <w:textDirection w:val="lrTb"/>
            <w:noWrap w:val="false"/>
          </w:tcPr>
          <w:p>
            <w:pPr>
              <w:pStyle w:val="1198"/>
              <w:ind w:left="112"/>
              <w:spacing w:before="171" w:line="221" w:lineRule="auto"/>
              <w:rPr>
                <w:lang w:eastAsia="en-US"/>
              </w:rPr>
            </w:pPr>
            <w:r>
              <w:rPr>
                <w:spacing w:val="-4"/>
                <w:lang w:eastAsia="en-US"/>
              </w:rPr>
              <w:t xml:space="preserve">202</w:t>
            </w:r>
            <w:r>
              <w:rPr>
                <w:rFonts w:hint="eastAsia" w:eastAsia="Arial"/>
                <w:spacing w:val="-4"/>
              </w:rPr>
              <w:t xml:space="preserve">4</w:t>
            </w:r>
            <w:r>
              <w:rPr>
                <w:spacing w:val="-4"/>
                <w:lang w:eastAsia="en-US"/>
              </w:rPr>
              <w:t xml:space="preserve">年万元</w:t>
            </w:r>
            <w:r>
              <w:rPr>
                <w:lang w:eastAsia="en-US"/>
              </w:rPr>
            </w:r>
            <w:r/>
          </w:p>
        </w:tc>
        <w:tc>
          <w:tcPr>
            <w:tcW w:w="1361" w:type="dxa"/>
            <w:vAlign w:val="top"/>
            <w:textDirection w:val="lrTb"/>
            <w:noWrap w:val="false"/>
          </w:tcPr>
          <w:p>
            <w:pPr>
              <w:pStyle w:val="1011"/>
              <w:rPr>
                <w:rFonts w:eastAsia="Arial"/>
                <w:lang w:eastAsia="en-US"/>
              </w:rPr>
            </w:pPr>
            <w:r>
              <w:rPr>
                <w:rFonts w:eastAsia="Arial"/>
                <w:lang w:eastAsia="en-US"/>
              </w:rPr>
            </w:r>
            <w:r/>
          </w:p>
        </w:tc>
        <w:tc>
          <w:tcPr>
            <w:tcW w:w="2275" w:type="dxa"/>
            <w:vAlign w:val="top"/>
            <w:textDirection w:val="lrTb"/>
            <w:noWrap w:val="false"/>
          </w:tcPr>
          <w:p>
            <w:pPr>
              <w:pStyle w:val="1011"/>
              <w:rPr>
                <w:rFonts w:eastAsia="Arial"/>
                <w:lang w:eastAsia="en-US"/>
              </w:rPr>
            </w:pPr>
            <w:r>
              <w:rPr>
                <w:rFonts w:eastAsia="Arial"/>
                <w:lang w:eastAsia="en-US"/>
              </w:rPr>
            </w:r>
            <w:r/>
          </w:p>
        </w:tc>
      </w:tr>
      <w:tr>
        <w:trPr>
          <w:trHeight w:val="884"/>
        </w:trPr>
        <w:tc>
          <w:tcPr>
            <w:tcW w:w="2975" w:type="dxa"/>
            <w:vAlign w:val="top"/>
            <w:textDirection w:val="lrTb"/>
            <w:noWrap w:val="false"/>
          </w:tcPr>
          <w:p>
            <w:pPr>
              <w:pStyle w:val="1011"/>
              <w:spacing w:line="322" w:lineRule="auto"/>
              <w:rPr>
                <w:rFonts w:eastAsia="Arial"/>
                <w:lang w:eastAsia="en-US"/>
              </w:rPr>
            </w:pPr>
            <w:r>
              <w:rPr>
                <w:rFonts w:eastAsia="Arial"/>
                <w:lang w:eastAsia="en-US"/>
              </w:rPr>
            </w:r>
            <w:r/>
          </w:p>
          <w:p>
            <w:pPr>
              <w:pStyle w:val="1198"/>
              <w:ind w:left="122"/>
              <w:spacing w:before="68" w:line="222" w:lineRule="auto"/>
              <w:rPr>
                <w:lang w:eastAsia="en-US"/>
              </w:rPr>
            </w:pPr>
            <w:r>
              <w:rPr>
                <w:spacing w:val="-3"/>
                <w:lang w:eastAsia="en-US"/>
              </w:rPr>
              <w:t xml:space="preserve">营业面积</w:t>
            </w:r>
            <w:r>
              <w:rPr>
                <w:lang w:eastAsia="en-US"/>
              </w:rPr>
            </w:r>
            <w:r/>
          </w:p>
        </w:tc>
        <w:tc>
          <w:tcPr>
            <w:tcW w:w="1754" w:type="dxa"/>
            <w:vAlign w:val="top"/>
            <w:textDirection w:val="lrTb"/>
            <w:noWrap w:val="false"/>
          </w:tcPr>
          <w:p>
            <w:pPr>
              <w:pStyle w:val="1011"/>
              <w:spacing w:line="322" w:lineRule="auto"/>
              <w:rPr>
                <w:rFonts w:eastAsia="Arial"/>
                <w:lang w:eastAsia="en-US"/>
              </w:rPr>
            </w:pPr>
            <w:r>
              <w:rPr>
                <w:rFonts w:eastAsia="Arial"/>
                <w:lang w:eastAsia="en-US"/>
              </w:rPr>
            </w:r>
            <w:r/>
          </w:p>
          <w:p>
            <w:pPr>
              <w:pStyle w:val="1198"/>
              <w:ind w:left="845"/>
              <w:spacing w:before="68" w:line="221" w:lineRule="auto"/>
              <w:rPr>
                <w:lang w:eastAsia="en-US"/>
              </w:rPr>
            </w:pPr>
            <w:r>
              <w:rPr>
                <w:spacing w:val="-3"/>
                <w:lang w:eastAsia="en-US"/>
              </w:rPr>
              <w:t xml:space="preserve">平方米</w:t>
            </w:r>
            <w:r>
              <w:rPr>
                <w:lang w:eastAsia="en-US"/>
              </w:rPr>
            </w:r>
            <w:r/>
          </w:p>
        </w:tc>
        <w:tc>
          <w:tcPr>
            <w:tcW w:w="1361" w:type="dxa"/>
            <w:vAlign w:val="top"/>
            <w:textDirection w:val="lrTb"/>
            <w:noWrap w:val="false"/>
          </w:tcPr>
          <w:p>
            <w:pPr>
              <w:pStyle w:val="1011"/>
              <w:spacing w:line="322" w:lineRule="auto"/>
              <w:rPr>
                <w:rFonts w:eastAsia="Arial"/>
                <w:lang w:eastAsia="en-US"/>
              </w:rPr>
            </w:pPr>
            <w:r>
              <w:rPr>
                <w:rFonts w:eastAsia="Arial"/>
                <w:lang w:eastAsia="en-US"/>
              </w:rPr>
            </w:r>
            <w:r/>
          </w:p>
          <w:p>
            <w:pPr>
              <w:pStyle w:val="1198"/>
              <w:ind w:left="113"/>
              <w:spacing w:before="68" w:line="222" w:lineRule="auto"/>
              <w:rPr>
                <w:lang w:eastAsia="en-US"/>
              </w:rPr>
            </w:pPr>
            <w:r>
              <w:rPr>
                <w:spacing w:val="-13"/>
                <w:lang w:eastAsia="en-US"/>
              </w:rPr>
              <w:t xml:space="preserve">其中：</w:t>
            </w:r>
            <w:r>
              <w:rPr>
                <w:lang w:eastAsia="en-US"/>
              </w:rPr>
            </w:r>
            <w:r/>
          </w:p>
        </w:tc>
        <w:tc>
          <w:tcPr>
            <w:tcW w:w="2275" w:type="dxa"/>
            <w:vAlign w:val="top"/>
            <w:textDirection w:val="lrTb"/>
            <w:noWrap w:val="false"/>
          </w:tcPr>
          <w:p>
            <w:pPr>
              <w:pStyle w:val="1198"/>
              <w:ind w:left="117" w:right="159" w:firstLine="34"/>
              <w:spacing w:before="173" w:line="308" w:lineRule="auto"/>
            </w:pPr>
            <w:r>
              <w:rPr>
                <w:spacing w:val="-7"/>
              </w:rPr>
              <w:t xml:space="preserve">自有面积平方米</w:t>
            </w:r>
            <w:r>
              <w:rPr>
                <w:spacing w:val="-1"/>
              </w:rPr>
              <w:t xml:space="preserve">承租面积     平方米</w:t>
            </w:r>
            <w:r/>
          </w:p>
        </w:tc>
      </w:tr>
      <w:tr>
        <w:trPr>
          <w:trHeight w:val="446"/>
        </w:trPr>
        <w:tc>
          <w:tcPr>
            <w:tcW w:w="2975" w:type="dxa"/>
            <w:vAlign w:val="top"/>
            <w:textDirection w:val="lrTb"/>
            <w:noWrap w:val="false"/>
          </w:tcPr>
          <w:p>
            <w:pPr>
              <w:pStyle w:val="1198"/>
              <w:ind w:left="117"/>
              <w:spacing w:before="174" w:line="221" w:lineRule="auto"/>
            </w:pPr>
            <w:r>
              <w:rPr>
                <w:spacing w:val="-1"/>
              </w:rPr>
              <w:t xml:space="preserve">单位简历及内设机构情况</w:t>
            </w:r>
            <w:r/>
          </w:p>
        </w:tc>
        <w:tc>
          <w:tcPr>
            <w:gridSpan w:val="3"/>
            <w:tcW w:w="5390" w:type="dxa"/>
            <w:vAlign w:val="top"/>
            <w:textDirection w:val="lrTb"/>
            <w:noWrap w:val="false"/>
          </w:tcPr>
          <w:p>
            <w:pPr>
              <w:pStyle w:val="1011"/>
              <w:rPr>
                <w:rFonts w:eastAsia="Arial"/>
              </w:rPr>
            </w:pPr>
            <w:r>
              <w:rPr>
                <w:rFonts w:eastAsia="Arial"/>
              </w:rPr>
            </w:r>
            <w:r/>
          </w:p>
        </w:tc>
      </w:tr>
      <w:tr>
        <w:trPr>
          <w:trHeight w:val="443"/>
        </w:trPr>
        <w:tc>
          <w:tcPr>
            <w:tcW w:w="2975" w:type="dxa"/>
            <w:vAlign w:val="top"/>
            <w:textDirection w:val="lrTb"/>
            <w:noWrap w:val="false"/>
          </w:tcPr>
          <w:p>
            <w:pPr>
              <w:pStyle w:val="1198"/>
              <w:ind w:left="117"/>
              <w:spacing w:before="173" w:line="221" w:lineRule="auto"/>
              <w:rPr>
                <w:lang w:eastAsia="en-US"/>
              </w:rPr>
            </w:pPr>
            <w:r>
              <w:rPr>
                <w:spacing w:val="-1"/>
                <w:lang w:eastAsia="en-US"/>
              </w:rPr>
              <w:t xml:space="preserve">单位优势及特长</w:t>
            </w:r>
            <w:r>
              <w:rPr>
                <w:lang w:eastAsia="en-US"/>
              </w:rPr>
            </w:r>
            <w:r/>
          </w:p>
        </w:tc>
        <w:tc>
          <w:tcPr>
            <w:gridSpan w:val="3"/>
            <w:tcW w:w="5390" w:type="dxa"/>
            <w:vAlign w:val="top"/>
            <w:textDirection w:val="lrTb"/>
            <w:noWrap w:val="false"/>
          </w:tcPr>
          <w:p>
            <w:pPr>
              <w:pStyle w:val="1011"/>
              <w:rPr>
                <w:rFonts w:eastAsia="Arial"/>
                <w:lang w:eastAsia="en-US"/>
              </w:rPr>
            </w:pPr>
            <w:r>
              <w:rPr>
                <w:rFonts w:eastAsia="Arial"/>
                <w:lang w:eastAsia="en-US"/>
              </w:rPr>
            </w:r>
            <w:r/>
          </w:p>
        </w:tc>
      </w:tr>
      <w:tr>
        <w:trPr>
          <w:trHeight w:val="884"/>
        </w:trPr>
        <w:tc>
          <w:tcPr>
            <w:tcW w:w="2975" w:type="dxa"/>
            <w:vAlign w:val="top"/>
            <w:textDirection w:val="lrTb"/>
            <w:noWrap w:val="false"/>
          </w:tcPr>
          <w:p>
            <w:pPr>
              <w:pStyle w:val="1198"/>
              <w:ind w:left="117" w:right="123" w:hanging="3"/>
              <w:spacing w:before="175" w:line="307" w:lineRule="auto"/>
            </w:pPr>
            <w:r>
              <w:rPr>
                <w:spacing w:val="-1"/>
              </w:rPr>
              <w:t xml:space="preserve">近两年来完成或正在履行的重</w:t>
            </w:r>
            <w:r>
              <w:rPr>
                <w:spacing w:val="-2"/>
              </w:rPr>
              <w:t xml:space="preserve">大合同情况</w:t>
            </w:r>
            <w:r/>
          </w:p>
        </w:tc>
        <w:tc>
          <w:tcPr>
            <w:gridSpan w:val="3"/>
            <w:tcW w:w="5390" w:type="dxa"/>
            <w:vAlign w:val="top"/>
            <w:textDirection w:val="lrTb"/>
            <w:noWrap w:val="false"/>
          </w:tcPr>
          <w:p>
            <w:pPr>
              <w:pStyle w:val="1011"/>
              <w:rPr>
                <w:rFonts w:eastAsia="Arial"/>
              </w:rPr>
            </w:pPr>
            <w:r>
              <w:rPr>
                <w:rFonts w:eastAsia="Arial"/>
              </w:rPr>
            </w:r>
            <w:r/>
          </w:p>
        </w:tc>
      </w:tr>
      <w:tr>
        <w:trPr>
          <w:trHeight w:val="884"/>
        </w:trPr>
        <w:tc>
          <w:tcPr>
            <w:tcW w:w="2975" w:type="dxa"/>
            <w:vAlign w:val="top"/>
            <w:textDirection w:val="lrTb"/>
            <w:noWrap w:val="false"/>
          </w:tcPr>
          <w:p>
            <w:pPr>
              <w:pStyle w:val="1198"/>
              <w:ind w:left="118" w:right="123"/>
              <w:spacing w:before="177" w:line="306" w:lineRule="auto"/>
            </w:pPr>
            <w:r>
              <w:rPr>
                <w:spacing w:val="-2"/>
              </w:rPr>
              <w:t xml:space="preserve">最近2年内在经营过程中受到何种奖励或处分</w:t>
            </w:r>
            <w:r/>
          </w:p>
        </w:tc>
        <w:tc>
          <w:tcPr>
            <w:gridSpan w:val="3"/>
            <w:tcW w:w="5390" w:type="dxa"/>
            <w:vAlign w:val="top"/>
            <w:textDirection w:val="lrTb"/>
            <w:noWrap w:val="false"/>
          </w:tcPr>
          <w:p>
            <w:pPr>
              <w:pStyle w:val="1198"/>
              <w:ind w:left="113" w:right="111" w:firstLine="2"/>
              <w:spacing w:before="177" w:line="306" w:lineRule="auto"/>
            </w:pPr>
            <w:r>
              <w:rPr>
                <w:spacing w:val="-4"/>
              </w:rPr>
              <w:t xml:space="preserve">（包括财政、工商、税务、物价、技监部门稽查情况和结</w:t>
            </w:r>
            <w:r>
              <w:rPr>
                <w:spacing w:val="-7"/>
              </w:rPr>
              <w:t xml:space="preserve">果）</w:t>
            </w:r>
            <w:r/>
          </w:p>
        </w:tc>
      </w:tr>
      <w:tr>
        <w:trPr>
          <w:trHeight w:val="1326"/>
        </w:trPr>
        <w:tc>
          <w:tcPr>
            <w:tcW w:w="2975" w:type="dxa"/>
            <w:vAlign w:val="top"/>
            <w:textDirection w:val="lrTb"/>
            <w:noWrap w:val="false"/>
          </w:tcPr>
          <w:p>
            <w:pPr>
              <w:pStyle w:val="1198"/>
              <w:ind w:left="116" w:right="123" w:firstLine="1"/>
              <w:jc w:val="both"/>
              <w:spacing w:before="179" w:line="333" w:lineRule="auto"/>
            </w:pPr>
            <w:r>
              <w:rPr>
                <w:spacing w:val="-3"/>
              </w:rPr>
              <w:t xml:space="preserve">最近3年内有无因售假、售劣</w:t>
            </w:r>
            <w:r>
              <w:rPr>
                <w:spacing w:val="-1"/>
              </w:rPr>
              <w:t xml:space="preserve">或是其他原因被消费者投诉或起诉的情况及说明</w:t>
            </w:r>
            <w:r/>
          </w:p>
        </w:tc>
        <w:tc>
          <w:tcPr>
            <w:gridSpan w:val="3"/>
            <w:tcW w:w="5390" w:type="dxa"/>
            <w:vAlign w:val="top"/>
            <w:textDirection w:val="lrTb"/>
            <w:noWrap w:val="false"/>
          </w:tcPr>
          <w:p>
            <w:pPr>
              <w:pStyle w:val="1198"/>
              <w:ind w:left="115"/>
              <w:spacing w:before="178" w:line="221" w:lineRule="auto"/>
            </w:pPr>
            <w:r>
              <w:rPr>
                <w:spacing w:val="-2"/>
              </w:rPr>
              <w:t xml:space="preserve">（包括解决方式和结果）</w:t>
            </w:r>
            <w:r/>
          </w:p>
        </w:tc>
      </w:tr>
      <w:tr>
        <w:trPr>
          <w:trHeight w:val="1323"/>
        </w:trPr>
        <w:tc>
          <w:tcPr>
            <w:tcW w:w="2975" w:type="dxa"/>
            <w:vAlign w:val="top"/>
            <w:textDirection w:val="lrTb"/>
            <w:noWrap w:val="false"/>
          </w:tcPr>
          <w:p>
            <w:pPr>
              <w:pStyle w:val="1198"/>
              <w:ind w:left="117" w:right="123"/>
              <w:spacing w:before="177" w:line="386" w:lineRule="auto"/>
            </w:pPr>
            <w:r>
              <w:rPr>
                <w:spacing w:val="-3"/>
              </w:rPr>
              <w:t xml:space="preserve">最近3年内主要负责人有无因</w:t>
            </w:r>
            <w:r>
              <w:rPr>
                <w:spacing w:val="-1"/>
              </w:rPr>
              <w:t xml:space="preserve">经济犯罪被司法机关追究的情</w:t>
            </w:r>
            <w:r/>
          </w:p>
          <w:p>
            <w:pPr>
              <w:pStyle w:val="1198"/>
              <w:ind w:left="117"/>
              <w:spacing w:line="221" w:lineRule="auto"/>
              <w:rPr>
                <w:lang w:eastAsia="en-US"/>
              </w:rPr>
            </w:pPr>
            <w:r>
              <w:rPr>
                <w:spacing w:val="-2"/>
                <w:lang w:eastAsia="en-US"/>
              </w:rPr>
              <w:t xml:space="preserve">况及说明</w:t>
            </w:r>
            <w:r>
              <w:rPr>
                <w:lang w:eastAsia="en-US"/>
              </w:rPr>
            </w:r>
            <w:r/>
          </w:p>
        </w:tc>
        <w:tc>
          <w:tcPr>
            <w:gridSpan w:val="3"/>
            <w:tcW w:w="5390" w:type="dxa"/>
            <w:vAlign w:val="top"/>
            <w:textDirection w:val="lrTb"/>
            <w:noWrap w:val="false"/>
          </w:tcPr>
          <w:p>
            <w:pPr>
              <w:pStyle w:val="1011"/>
              <w:rPr>
                <w:rFonts w:eastAsia="Arial"/>
                <w:lang w:eastAsia="en-US"/>
              </w:rPr>
            </w:pPr>
            <w:r>
              <w:rPr>
                <w:rFonts w:eastAsia="Arial"/>
                <w:lang w:eastAsia="en-US"/>
              </w:rPr>
            </w:r>
            <w:r/>
          </w:p>
        </w:tc>
      </w:tr>
      <w:tr>
        <w:trPr>
          <w:trHeight w:val="990"/>
        </w:trPr>
        <w:tc>
          <w:tcPr>
            <w:tcW w:w="2975" w:type="dxa"/>
            <w:vAlign w:val="top"/>
            <w:textDirection w:val="lrTb"/>
            <w:noWrap w:val="false"/>
          </w:tcPr>
          <w:p>
            <w:pPr>
              <w:pStyle w:val="1198"/>
              <w:ind w:left="116"/>
              <w:spacing w:before="178" w:line="221" w:lineRule="auto"/>
              <w:rPr>
                <w:lang w:eastAsia="en-US"/>
              </w:rPr>
            </w:pPr>
            <w:r>
              <w:rPr>
                <w:spacing w:val="-1"/>
                <w:lang w:eastAsia="en-US"/>
              </w:rPr>
              <w:t xml:space="preserve">其他需要说明的情况</w:t>
            </w:r>
            <w:r>
              <w:rPr>
                <w:lang w:eastAsia="en-US"/>
              </w:rPr>
            </w:r>
            <w:r/>
          </w:p>
        </w:tc>
        <w:tc>
          <w:tcPr>
            <w:gridSpan w:val="3"/>
            <w:tcW w:w="5390" w:type="dxa"/>
            <w:vAlign w:val="top"/>
            <w:textDirection w:val="lrTb"/>
            <w:noWrap w:val="false"/>
          </w:tcPr>
          <w:p>
            <w:pPr>
              <w:pStyle w:val="1011"/>
              <w:rPr>
                <w:rFonts w:eastAsia="Arial"/>
                <w:lang w:eastAsia="en-US"/>
              </w:rPr>
            </w:pPr>
            <w:r>
              <w:rPr>
                <w:rFonts w:eastAsia="Arial"/>
                <w:lang w:eastAsia="en-US"/>
              </w:rPr>
            </w:r>
            <w:r/>
          </w:p>
        </w:tc>
      </w:tr>
    </w:tbl>
    <w:p>
      <w:pPr>
        <w:pStyle w:val="1182"/>
      </w:pPr>
      <w:r/>
      <w:bookmarkEnd w:id="80"/>
      <w:r/>
      <w:r/>
    </w:p>
    <w:p>
      <w:pPr>
        <w:pStyle w:val="1011"/>
        <w:sectPr>
          <w:footnotePr/>
          <w:endnotePr/>
          <w:type w:val="nextPage"/>
          <w:pgSz w:w="11907" w:h="16839" w:orient="portrait"/>
          <w:pgMar w:top="921" w:right="1106" w:bottom="676" w:left="1104" w:header="601" w:footer="511" w:gutter="0"/>
          <w:cols w:num="1" w:sep="0" w:space="720" w:equalWidth="1"/>
          <w:docGrid w:linePitch="360"/>
        </w:sectPr>
      </w:pPr>
      <w:r/>
      <w:r/>
    </w:p>
    <w:p>
      <w:pPr>
        <w:pStyle w:val="1011"/>
        <w:ind w:left="37"/>
        <w:spacing w:before="157" w:line="221" w:lineRule="auto"/>
        <w:rPr>
          <w:rFonts w:ascii="宋体" w:hAnsi="宋体" w:cs="宋体"/>
        </w:rPr>
      </w:pPr>
      <w:r/>
      <w:bookmarkStart w:id="81" w:name="OLE_LINK77"/>
      <w:r/>
      <w:bookmarkStart w:id="82" w:name="OLE_LINK76"/>
      <w:r>
        <w:rPr>
          <w:rFonts w:ascii="宋体" w:hAnsi="宋体" w:cs="宋体"/>
          <w:b/>
          <w:bCs/>
          <w:spacing w:val="-4"/>
        </w:rPr>
        <w:t xml:space="preserve">格式9、中小企业声明函（如有）</w:t>
      </w:r>
      <w:r>
        <w:rPr>
          <w:rFonts w:ascii="宋体" w:hAnsi="宋体" w:cs="宋体"/>
        </w:rPr>
      </w:r>
      <w:r/>
    </w:p>
    <w:p>
      <w:pPr>
        <w:pStyle w:val="1011"/>
        <w:ind w:left="3716"/>
        <w:spacing w:before="154" w:line="221" w:lineRule="auto"/>
        <w:rPr>
          <w:rFonts w:ascii="宋体" w:hAnsi="宋体" w:cs="宋体"/>
        </w:rPr>
      </w:pPr>
      <w:r>
        <w:rPr>
          <w:rFonts w:ascii="宋体" w:hAnsi="宋体" w:cs="宋体"/>
          <w:b/>
          <w:bCs/>
          <w:spacing w:val="-5"/>
        </w:rPr>
        <w:t xml:space="preserve">中小企业声明函（服务）</w:t>
      </w:r>
      <w:r>
        <w:rPr>
          <w:rFonts w:ascii="宋体" w:hAnsi="宋体" w:cs="宋体"/>
        </w:rPr>
      </w:r>
      <w:r/>
    </w:p>
    <w:p>
      <w:pPr>
        <w:pStyle w:val="1182"/>
        <w:spacing w:line="284" w:lineRule="auto"/>
      </w:pPr>
      <w:r/>
      <w:r/>
    </w:p>
    <w:p>
      <w:pPr>
        <w:pStyle w:val="1011"/>
        <w:ind w:left="54" w:right="38" w:firstLine="408"/>
        <w:jc w:val="both"/>
        <w:spacing w:before="68" w:line="359" w:lineRule="auto"/>
        <w:rPr>
          <w:rFonts w:ascii="宋体" w:hAnsi="宋体" w:cs="宋体"/>
        </w:rPr>
      </w:pPr>
      <w:r>
        <w:rPr>
          <w:rFonts w:ascii="宋体" w:hAnsi="宋体" w:cs="宋体"/>
          <w:spacing w:val="-3"/>
        </w:rPr>
        <w:t xml:space="preserve">本公司（或联合体）郑重声明，根据《政府采购促进中小企业发展管理办法》（财库﹝</w:t>
      </w:r>
      <w:r>
        <w:rPr>
          <w:rFonts w:ascii="Times New Roman" w:hAnsi="Times New Roman" w:eastAsia="Times New Roman" w:cs="Times New Roman"/>
          <w:spacing w:val="-3"/>
        </w:rPr>
        <w:t xml:space="preserve">2020</w:t>
      </w:r>
      <w:r>
        <w:rPr>
          <w:rFonts w:ascii="宋体" w:hAnsi="宋体" w:cs="宋体"/>
          <w:spacing w:val="-3"/>
        </w:rPr>
        <w:t xml:space="preserve">﹞</w:t>
      </w:r>
      <w:r>
        <w:rPr>
          <w:rFonts w:ascii="Times New Roman" w:hAnsi="Times New Roman" w:eastAsia="Times New Roman" w:cs="Times New Roman"/>
          <w:spacing w:val="-3"/>
        </w:rPr>
        <w:t xml:space="preserve">4</w:t>
      </w:r>
      <w:r>
        <w:rPr>
          <w:rFonts w:ascii="Times New Roman" w:hAnsi="Times New Roman" w:eastAsia="Times New Roman" w:cs="Times New Roman"/>
          <w:spacing w:val="-4"/>
        </w:rPr>
        <w:t xml:space="preserve">6  </w:t>
      </w:r>
      <w:r>
        <w:rPr>
          <w:rFonts w:ascii="宋体" w:hAnsi="宋体" w:cs="宋体"/>
          <w:spacing w:val="-4"/>
        </w:rPr>
        <w:t xml:space="preserve">号）</w:t>
      </w:r>
      <w:r>
        <w:rPr>
          <w:rFonts w:ascii="宋体" w:hAnsi="宋体" w:cs="宋体"/>
        </w:rPr>
        <w:t xml:space="preserve">的规定，本公司 （或联合体）参加</w:t>
      </w:r>
      <w:r>
        <w:rPr>
          <w:rFonts w:ascii="宋体" w:hAnsi="宋体" w:cs="宋体"/>
          <w:u w:val="single"/>
        </w:rPr>
        <w:t xml:space="preserve">（单位名称）</w:t>
      </w:r>
      <w:r>
        <w:rPr>
          <w:rFonts w:ascii="宋体" w:hAnsi="宋体" w:cs="宋体"/>
        </w:rPr>
        <w:t xml:space="preserve">的</w:t>
      </w:r>
      <w:r>
        <w:rPr>
          <w:rFonts w:ascii="宋体" w:hAnsi="宋体" w:cs="宋体"/>
          <w:u w:val="single"/>
        </w:rPr>
        <w:t xml:space="preserve">（</w:t>
      </w:r>
      <w:r>
        <w:rPr>
          <w:rFonts w:ascii="宋体" w:hAnsi="宋体" w:cs="宋体"/>
          <w:spacing w:val="-1"/>
          <w:u w:val="single"/>
        </w:rPr>
        <w:t xml:space="preserve">项目名称）</w:t>
      </w:r>
      <w:r>
        <w:rPr>
          <w:rFonts w:ascii="宋体" w:hAnsi="宋体" w:cs="宋体"/>
          <w:spacing w:val="-1"/>
        </w:rPr>
        <w:t xml:space="preserve">采购活动，服务全部由符合政策要求的中小企业承接。相关企业（含联合体中的中小企业、签订分包意向协议的中小企业）</w:t>
      </w:r>
      <w:r>
        <w:rPr>
          <w:rFonts w:ascii="宋体" w:hAnsi="宋体" w:cs="宋体"/>
          <w:spacing w:val="-2"/>
        </w:rPr>
        <w:t xml:space="preserve">的具体情 况如下：</w:t>
      </w:r>
      <w:r>
        <w:rPr>
          <w:rFonts w:ascii="宋体" w:hAnsi="宋体" w:cs="宋体"/>
        </w:rPr>
      </w:r>
      <w:r/>
    </w:p>
    <w:p>
      <w:pPr>
        <w:pStyle w:val="1011"/>
        <w:ind w:left="38" w:right="24" w:firstLine="439"/>
        <w:spacing w:before="2" w:line="310" w:lineRule="auto"/>
        <w:rPr>
          <w:rFonts w:ascii="宋体" w:hAnsi="宋体" w:cs="宋体"/>
        </w:rPr>
      </w:pPr>
      <w:r>
        <w:rPr>
          <w:rFonts w:ascii="Times New Roman" w:hAnsi="Times New Roman" w:eastAsia="Times New Roman" w:cs="Times New Roman"/>
          <w:spacing w:val="-2"/>
        </w:rPr>
        <w:t xml:space="preserve">1.  </w:t>
      </w:r>
      <w:r>
        <w:rPr>
          <w:rFonts w:ascii="宋体" w:hAnsi="宋体" w:cs="宋体"/>
          <w:spacing w:val="-2"/>
          <w:u w:val="single"/>
        </w:rPr>
        <w:t xml:space="preserve">（标的名称</w:t>
      </w:r>
      <w:r>
        <w:rPr>
          <w:rFonts w:ascii="宋体" w:hAnsi="宋体" w:cs="宋体"/>
          <w:spacing w:val="-6"/>
          <w:u w:val="single"/>
        </w:rPr>
        <w:t xml:space="preserve">）</w:t>
      </w:r>
      <w:r>
        <w:rPr>
          <w:rFonts w:ascii="宋体" w:hAnsi="宋体" w:cs="宋体"/>
          <w:spacing w:val="-6"/>
        </w:rPr>
        <w:t xml:space="preserve">，</w:t>
      </w:r>
      <w:r>
        <w:rPr>
          <w:rFonts w:ascii="宋体" w:hAnsi="宋体" w:cs="宋体"/>
          <w:spacing w:val="-2"/>
        </w:rPr>
        <w:t xml:space="preserve">属于</w:t>
      </w:r>
      <w:r>
        <w:rPr>
          <w:rFonts w:ascii="宋体" w:hAnsi="宋体" w:cs="宋体"/>
          <w:spacing w:val="-2"/>
          <w:u w:val="single"/>
        </w:rPr>
        <w:t xml:space="preserve">（采购文件中明确的所属行业</w:t>
      </w:r>
      <w:r>
        <w:rPr>
          <w:rFonts w:ascii="宋体" w:hAnsi="宋体" w:cs="宋体"/>
          <w:spacing w:val="-6"/>
          <w:u w:val="single"/>
        </w:rPr>
        <w:t xml:space="preserve">）</w:t>
      </w:r>
      <w:r>
        <w:rPr>
          <w:rFonts w:ascii="宋体" w:hAnsi="宋体" w:cs="宋体"/>
          <w:spacing w:val="-6"/>
        </w:rPr>
        <w:t xml:space="preserve">；</w:t>
      </w:r>
      <w:r>
        <w:rPr>
          <w:rFonts w:ascii="宋体" w:hAnsi="宋体" w:cs="宋体"/>
          <w:spacing w:val="-2"/>
        </w:rPr>
        <w:t xml:space="preserve">承建（承接）企业为</w:t>
      </w:r>
      <w:r>
        <w:rPr>
          <w:rFonts w:ascii="宋体" w:hAnsi="宋体" w:cs="宋体"/>
          <w:spacing w:val="-2"/>
          <w:u w:val="single"/>
        </w:rPr>
        <w:t xml:space="preserve">（企业名称</w:t>
      </w:r>
      <w:r>
        <w:rPr>
          <w:rFonts w:ascii="宋体" w:hAnsi="宋体" w:cs="宋体"/>
          <w:spacing w:val="-6"/>
          <w:u w:val="single"/>
        </w:rPr>
        <w:t xml:space="preserve">）</w:t>
      </w:r>
      <w:r>
        <w:rPr>
          <w:rFonts w:ascii="宋体" w:hAnsi="宋体" w:cs="宋体"/>
          <w:spacing w:val="-6"/>
        </w:rPr>
        <w:t xml:space="preserve">，</w:t>
      </w:r>
      <w:r>
        <w:rPr>
          <w:rFonts w:ascii="宋体" w:hAnsi="宋体" w:cs="宋体"/>
          <w:spacing w:val="-2"/>
        </w:rPr>
        <w:t xml:space="preserve">从业人员人，营业收入为万元，资产总额为万元</w:t>
      </w:r>
      <w:r>
        <w:rPr>
          <w:rFonts w:ascii="Times New Roman" w:hAnsi="Times New Roman" w:eastAsia="Times New Roman" w:cs="Times New Roman"/>
          <w:spacing w:val="-2"/>
          <w:position w:val="10"/>
          <w:sz w:val="13"/>
          <w:szCs w:val="13"/>
        </w:rPr>
        <w:t xml:space="preserve">1</w:t>
      </w:r>
      <w:r>
        <w:rPr>
          <w:rFonts w:ascii="宋体" w:hAnsi="宋体" w:cs="宋体"/>
          <w:spacing w:val="-2"/>
        </w:rPr>
        <w:t xml:space="preserve">，属于</w:t>
      </w:r>
      <w:r>
        <w:rPr>
          <w:rFonts w:ascii="宋体" w:hAnsi="宋体" w:cs="宋体"/>
          <w:spacing w:val="-2"/>
          <w:u w:val="single"/>
        </w:rPr>
        <w:t xml:space="preserve">（</w:t>
      </w:r>
      <w:r>
        <w:rPr>
          <w:rFonts w:ascii="宋体" w:hAnsi="宋体" w:cs="宋体"/>
          <w:spacing w:val="-3"/>
          <w:u w:val="single"/>
        </w:rPr>
        <w:t xml:space="preserve">中型企业、 小型企业、微型企业</w:t>
      </w:r>
      <w:r>
        <w:rPr>
          <w:rFonts w:ascii="宋体" w:hAnsi="宋体" w:cs="宋体"/>
          <w:spacing w:val="-1"/>
          <w:u w:val="single"/>
        </w:rPr>
        <w:t xml:space="preserve">）</w:t>
      </w:r>
      <w:r>
        <w:rPr>
          <w:rFonts w:ascii="宋体" w:hAnsi="宋体" w:cs="宋体"/>
          <w:spacing w:val="-1"/>
        </w:rPr>
        <w:t xml:space="preserve">；</w:t>
      </w:r>
      <w:r>
        <w:rPr>
          <w:rFonts w:ascii="宋体" w:hAnsi="宋体" w:cs="宋体"/>
        </w:rPr>
      </w:r>
      <w:r/>
    </w:p>
    <w:p>
      <w:pPr>
        <w:pStyle w:val="1011"/>
        <w:ind w:left="38" w:right="24" w:firstLine="419"/>
        <w:spacing w:before="152" w:line="312" w:lineRule="auto"/>
        <w:rPr>
          <w:rFonts w:ascii="Times New Roman" w:hAnsi="Times New Roman" w:eastAsia="Times New Roman" w:cs="Times New Roman"/>
        </w:rPr>
      </w:pPr>
      <w:r>
        <w:rPr>
          <w:rFonts w:ascii="Times New Roman" w:hAnsi="Times New Roman" w:eastAsia="Times New Roman" w:cs="Times New Roman"/>
          <w:spacing w:val="-1"/>
        </w:rPr>
        <w:t xml:space="preserve">2.  </w:t>
      </w:r>
      <w:r>
        <w:rPr>
          <w:rFonts w:ascii="宋体" w:hAnsi="宋体" w:cs="宋体"/>
          <w:spacing w:val="-1"/>
          <w:u w:val="single"/>
        </w:rPr>
        <w:t xml:space="preserve">（标的名称</w:t>
      </w:r>
      <w:r>
        <w:rPr>
          <w:rFonts w:ascii="宋体" w:hAnsi="宋体" w:cs="宋体"/>
          <w:spacing w:val="-8"/>
          <w:u w:val="single"/>
        </w:rPr>
        <w:t xml:space="preserve">） </w:t>
      </w:r>
      <w:r>
        <w:rPr>
          <w:rFonts w:ascii="宋体" w:hAnsi="宋体" w:cs="宋体"/>
          <w:spacing w:val="-8"/>
        </w:rPr>
        <w:t xml:space="preserve">，</w:t>
      </w:r>
      <w:r>
        <w:rPr>
          <w:rFonts w:ascii="宋体" w:hAnsi="宋体" w:cs="宋体"/>
          <w:spacing w:val="-1"/>
        </w:rPr>
        <w:t xml:space="preserve">属于</w:t>
      </w:r>
      <w:r>
        <w:rPr>
          <w:rFonts w:ascii="宋体" w:hAnsi="宋体" w:cs="宋体"/>
          <w:spacing w:val="-1"/>
          <w:u w:val="single"/>
        </w:rPr>
        <w:t xml:space="preserve">（采购文件中明确的所属行业</w:t>
      </w:r>
      <w:r>
        <w:rPr>
          <w:rFonts w:ascii="宋体" w:hAnsi="宋体" w:cs="宋体"/>
          <w:spacing w:val="-8"/>
          <w:u w:val="single"/>
        </w:rPr>
        <w:t xml:space="preserve">）</w:t>
      </w:r>
      <w:r>
        <w:rPr>
          <w:rFonts w:ascii="宋体" w:hAnsi="宋体" w:cs="宋体"/>
          <w:spacing w:val="-8"/>
        </w:rPr>
        <w:t xml:space="preserve">；</w:t>
      </w:r>
      <w:r>
        <w:rPr>
          <w:rFonts w:ascii="宋体" w:hAnsi="宋体" w:cs="宋体"/>
          <w:spacing w:val="-1"/>
        </w:rPr>
        <w:t xml:space="preserve"> 承建（承接）企业为</w:t>
      </w:r>
      <w:r>
        <w:rPr>
          <w:rFonts w:ascii="宋体" w:hAnsi="宋体" w:cs="宋体"/>
          <w:spacing w:val="-1"/>
          <w:u w:val="single"/>
        </w:rPr>
        <w:t xml:space="preserve">（</w:t>
      </w:r>
      <w:r>
        <w:rPr>
          <w:rFonts w:ascii="宋体" w:hAnsi="宋体" w:cs="宋体"/>
          <w:spacing w:val="-2"/>
          <w:u w:val="single"/>
        </w:rPr>
        <w:t xml:space="preserve">企业名称</w:t>
      </w:r>
      <w:r>
        <w:rPr>
          <w:rFonts w:ascii="宋体" w:hAnsi="宋体" w:cs="宋体"/>
          <w:spacing w:val="-8"/>
          <w:u w:val="single"/>
        </w:rPr>
        <w:t xml:space="preserve">）</w:t>
      </w:r>
      <w:r>
        <w:rPr>
          <w:rFonts w:ascii="宋体" w:hAnsi="宋体" w:cs="宋体"/>
          <w:spacing w:val="-8"/>
        </w:rPr>
        <w:t xml:space="preserve">，</w:t>
      </w:r>
      <w:r>
        <w:rPr>
          <w:rFonts w:ascii="宋体" w:hAnsi="宋体" w:cs="宋体"/>
          <w:spacing w:val="-2"/>
        </w:rPr>
        <w:t xml:space="preserve">从业人员人，营业收入为万元，资产总额为万元</w:t>
      </w:r>
      <w:r>
        <w:rPr>
          <w:rFonts w:ascii="Times New Roman" w:hAnsi="Times New Roman" w:eastAsia="Times New Roman" w:cs="Times New Roman"/>
          <w:spacing w:val="-2"/>
          <w:position w:val="10"/>
          <w:sz w:val="13"/>
          <w:szCs w:val="13"/>
        </w:rPr>
        <w:t xml:space="preserve">1</w:t>
      </w:r>
      <w:r>
        <w:rPr>
          <w:rFonts w:ascii="宋体" w:hAnsi="宋体" w:cs="宋体"/>
          <w:spacing w:val="-2"/>
        </w:rPr>
        <w:t xml:space="preserve">，属于</w:t>
      </w:r>
      <w:r>
        <w:rPr>
          <w:rFonts w:ascii="宋体" w:hAnsi="宋体" w:cs="宋体"/>
          <w:spacing w:val="-2"/>
          <w:u w:val="single"/>
        </w:rPr>
        <w:t xml:space="preserve">（</w:t>
      </w:r>
      <w:r>
        <w:rPr>
          <w:rFonts w:ascii="宋体" w:hAnsi="宋体" w:cs="宋体"/>
          <w:spacing w:val="-3"/>
          <w:u w:val="single"/>
        </w:rPr>
        <w:t xml:space="preserve">中型企业、 小型企业、微型</w:t>
      </w:r>
      <w:r>
        <w:rPr>
          <w:rFonts w:ascii="宋体" w:hAnsi="宋体" w:cs="宋体"/>
          <w:spacing w:val="-4"/>
          <w:u w:val="single"/>
        </w:rPr>
        <w:t xml:space="preserve">企业</w:t>
      </w:r>
      <w:r>
        <w:rPr>
          <w:rFonts w:ascii="宋体" w:hAnsi="宋体" w:cs="宋体"/>
          <w:spacing w:val="-2"/>
          <w:u w:val="single"/>
        </w:rPr>
        <w:t xml:space="preserve">）</w:t>
      </w:r>
      <w:r>
        <w:rPr>
          <w:rFonts w:ascii="宋体" w:hAnsi="宋体" w:cs="宋体"/>
          <w:spacing w:val="-2"/>
        </w:rPr>
        <w:t xml:space="preserve">；</w:t>
      </w:r>
      <w:r>
        <w:rPr>
          <w:rFonts w:ascii="Times New Roman" w:hAnsi="Times New Roman" w:eastAsia="Times New Roman" w:cs="Times New Roman"/>
          <w:spacing w:val="-4"/>
        </w:rPr>
        <w:t xml:space="preserve">……</w:t>
      </w:r>
      <w:r>
        <w:rPr>
          <w:rFonts w:ascii="Times New Roman" w:hAnsi="Times New Roman" w:eastAsia="Times New Roman" w:cs="Times New Roman"/>
        </w:rPr>
      </w:r>
      <w:r/>
    </w:p>
    <w:p>
      <w:pPr>
        <w:pStyle w:val="1011"/>
        <w:ind w:left="39" w:right="22" w:firstLine="446"/>
        <w:spacing w:before="154" w:line="360" w:lineRule="auto"/>
        <w:rPr>
          <w:rFonts w:ascii="宋体" w:hAnsi="宋体" w:cs="宋体"/>
        </w:rPr>
      </w:pPr>
      <w:r>
        <w:rPr>
          <w:rFonts w:ascii="宋体" w:hAnsi="宋体" w:cs="宋体"/>
          <w:spacing w:val="-1"/>
        </w:rPr>
        <w:t xml:space="preserve">以上企业，不属于大企业的分支机构，不存在控股股东为大企业的情形，也不</w:t>
      </w:r>
      <w:r>
        <w:rPr>
          <w:rFonts w:ascii="宋体" w:hAnsi="宋体" w:cs="宋体"/>
          <w:spacing w:val="-2"/>
        </w:rPr>
        <w:t xml:space="preserve">存在与大企业的负责人</w:t>
      </w:r>
      <w:r>
        <w:rPr>
          <w:rFonts w:ascii="宋体" w:hAnsi="宋体" w:cs="宋体"/>
        </w:rPr>
        <w:t xml:space="preserve">为同一人的情形。 本企业对上述声明内容</w:t>
      </w:r>
      <w:r>
        <w:rPr>
          <w:rFonts w:ascii="宋体" w:hAnsi="宋体" w:cs="宋体"/>
          <w:spacing w:val="-1"/>
        </w:rPr>
        <w:t xml:space="preserve">的真实性负责。如有虚假，将依法承担相应责任。</w:t>
      </w:r>
      <w:r>
        <w:rPr>
          <w:rFonts w:ascii="宋体" w:hAnsi="宋体" w:cs="宋体"/>
        </w:rPr>
      </w:r>
      <w:r/>
    </w:p>
    <w:p>
      <w:pPr>
        <w:pStyle w:val="1182"/>
        <w:spacing w:line="324" w:lineRule="auto"/>
      </w:pPr>
      <w:r/>
      <w:r/>
    </w:p>
    <w:p>
      <w:pPr>
        <w:pStyle w:val="1182"/>
        <w:spacing w:line="324" w:lineRule="auto"/>
      </w:pPr>
      <w:r/>
      <w:r/>
    </w:p>
    <w:p>
      <w:pPr>
        <w:pStyle w:val="1011"/>
        <w:ind w:left="465"/>
        <w:spacing w:before="69" w:line="221" w:lineRule="auto"/>
        <w:rPr>
          <w:rFonts w:ascii="宋体" w:hAnsi="宋体" w:cs="宋体"/>
        </w:rPr>
      </w:pPr>
      <w:r>
        <w:rPr>
          <w:rFonts w:ascii="宋体" w:hAnsi="宋体" w:cs="宋体"/>
          <w:spacing w:val="-2"/>
        </w:rPr>
        <w:t xml:space="preserve">企业名称（盖章</w:t>
      </w:r>
      <w:r>
        <w:rPr>
          <w:rFonts w:ascii="宋体" w:hAnsi="宋体" w:cs="宋体"/>
          <w:spacing w:val="-10"/>
        </w:rPr>
        <w:t xml:space="preserve">）：</w:t>
      </w:r>
      <w:r>
        <w:rPr>
          <w:rFonts w:ascii="宋体" w:hAnsi="宋体" w:cs="宋体"/>
        </w:rPr>
      </w:r>
      <w:r/>
    </w:p>
    <w:p>
      <w:pPr>
        <w:pStyle w:val="1011"/>
        <w:ind w:left="493"/>
        <w:spacing w:before="158" w:line="221" w:lineRule="auto"/>
        <w:rPr>
          <w:rFonts w:ascii="宋体" w:hAnsi="宋体" w:cs="宋体"/>
        </w:rPr>
      </w:pPr>
      <w:r>
        <w:rPr>
          <w:rFonts w:ascii="宋体" w:hAnsi="宋体" w:cs="宋体"/>
          <w:spacing w:val="-11"/>
        </w:rPr>
        <w:t xml:space="preserve">日期：年月日</w:t>
      </w:r>
      <w:r>
        <w:rPr>
          <w:rFonts w:ascii="宋体" w:hAnsi="宋体" w:cs="宋体"/>
        </w:rPr>
      </w:r>
      <w:r/>
    </w:p>
    <w:p>
      <w:pPr>
        <w:pStyle w:val="1182"/>
        <w:spacing w:line="270" w:lineRule="auto"/>
      </w:pPr>
      <w:r/>
      <w:r/>
    </w:p>
    <w:p>
      <w:pPr>
        <w:pStyle w:val="1182"/>
        <w:spacing w:line="270" w:lineRule="auto"/>
      </w:pPr>
      <w:r/>
      <w:bookmarkEnd w:id="81"/>
      <w:r/>
      <w:bookmarkEnd w:id="82"/>
      <w:r/>
      <w:r/>
    </w:p>
    <w:p>
      <w:pPr>
        <w:pStyle w:val="1208"/>
        <w:rPr>
          <w:b/>
          <w:bCs/>
        </w:rPr>
      </w:pPr>
      <w:r>
        <w:rPr>
          <w:rFonts w:hint="eastAsia"/>
        </w:rPr>
        <w:t xml:space="preserve">备注：1.从业人员、营业收入、资产总额填报上一年度数据，无上一年度数据的新成立企业可不填报。</w:t>
      </w:r>
      <w:r>
        <w:rPr>
          <w:b/>
          <w:bCs/>
        </w:rPr>
      </w:r>
      <w:r/>
    </w:p>
    <w:p>
      <w:pPr>
        <w:pStyle w:val="1208"/>
        <w:rPr>
          <w:b/>
          <w:bCs/>
        </w:rPr>
      </w:pPr>
      <w:r>
        <w:rPr>
          <w:rFonts w:hint="eastAsia"/>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b/>
          <w:bCs/>
        </w:rPr>
      </w:r>
      <w:r/>
    </w:p>
    <w:p>
      <w:pPr>
        <w:pStyle w:val="1208"/>
      </w:pPr>
      <w:r>
        <w:rPr>
          <w:rFonts w:hint="eastAsia"/>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1208"/>
      </w:pPr>
      <w:r>
        <w:rPr>
          <w:rFonts w:hint="eastAsia"/>
        </w:rPr>
        <w:t xml:space="preserve">4.如未对（中型企业、小型企业、微型企业）进行勾选，视同非中小微企业，不可享受相应扶持政策。</w:t>
      </w:r>
      <w:r/>
    </w:p>
    <w:p>
      <w:pPr>
        <w:pStyle w:val="1208"/>
        <w:rPr>
          <w:lang w:val="zh-CN"/>
        </w:rPr>
      </w:pPr>
      <w:r>
        <w:rPr>
          <w:rFonts w:hint="eastAsia"/>
        </w:rPr>
        <w:t xml:space="preserve">5.成交单位为中小企业的，《中小企业声明函》将随成交结果同时公告</w:t>
      </w:r>
      <w:r>
        <w:rPr>
          <w:rFonts w:hint="eastAsia"/>
          <w:lang w:val="zh-CN"/>
        </w:rPr>
        <w:t xml:space="preserve">。</w:t>
      </w:r>
      <w:r>
        <w:rPr>
          <w:lang w:val="zh-CN"/>
        </w:rPr>
      </w:r>
      <w:r/>
    </w:p>
    <w:p>
      <w:pPr>
        <w:pStyle w:val="1208"/>
        <w:rPr>
          <w:b/>
        </w:rPr>
      </w:pPr>
      <w:r>
        <w:rPr>
          <w:rFonts w:hint="eastAsia"/>
          <w:b/>
        </w:rPr>
        <w:t xml:space="preserve">附：中小企业划型标准规定（仅供参看，具体按照国家相关最新标准规定）</w:t>
      </w:r>
      <w:r>
        <w:rPr>
          <w:b/>
        </w:rPr>
      </w:r>
      <w:r/>
    </w:p>
    <w:p>
      <w:pPr>
        <w:pStyle w:val="1208"/>
      </w:pPr>
      <w:r>
        <w:rPr>
          <w:rFonts w:hint="eastAsia"/>
          <w:b/>
        </w:rPr>
        <w:t xml:space="preserve">（一）农、林、牧、渔业。</w:t>
      </w:r>
      <w:r>
        <w:rPr>
          <w:rFonts w:hint="eastAsia"/>
        </w:rPr>
        <w:t xml:space="preserve">营业收入20000万元以下的为中小微型企业。其中，营业收入500万元及以上的为中型企业，营业收入50万元及以上的为小型企业，营业收入50万元以下的为微型企业。</w:t>
      </w:r>
      <w:r/>
    </w:p>
    <w:p>
      <w:pPr>
        <w:pStyle w:val="1208"/>
      </w:pPr>
      <w:r>
        <w:rPr>
          <w:rFonts w:hint="eastAsia"/>
          <w:b/>
        </w:rPr>
        <w:t xml:space="preserve">（二）工业。</w:t>
      </w:r>
      <w:r>
        <w:rPr>
          <w:rFonts w:hint="eastAsia"/>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208"/>
      </w:pPr>
      <w:r>
        <w:rPr>
          <w:rFonts w:hint="eastAsia"/>
          <w:b/>
        </w:rPr>
        <w:t xml:space="preserve">（三）建筑业。</w:t>
      </w:r>
      <w:r>
        <w:rPr>
          <w:rFonts w:hint="eastAsia"/>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208"/>
      </w:pPr>
      <w:r>
        <w:rPr>
          <w:rFonts w:hint="eastAsia"/>
          <w:b/>
        </w:rPr>
        <w:t xml:space="preserve">（四）批发业。</w:t>
      </w:r>
      <w:r>
        <w:rPr>
          <w:rFonts w:hint="eastAsia"/>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11"/>
        <w:ind w:firstLine="422"/>
        <w:spacing w:line="360" w:lineRule="auto"/>
      </w:pPr>
      <w:r>
        <w:rPr>
          <w:rFonts w:hint="eastAsia"/>
          <w:b/>
        </w:rPr>
        <w:t xml:space="preserve">（五）零售业。</w:t>
      </w:r>
      <w:r>
        <w:rPr>
          <w:rFonts w:hint="eastAsia"/>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011"/>
        <w:ind w:firstLine="422"/>
        <w:spacing w:line="360" w:lineRule="auto"/>
      </w:pPr>
      <w:r>
        <w:rPr>
          <w:rFonts w:hint="eastAsia"/>
          <w:b/>
        </w:rPr>
        <w:t xml:space="preserve">（六）交通运输业。</w:t>
      </w:r>
      <w:r>
        <w:rPr>
          <w:rFonts w:hint="eastAsia"/>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11"/>
        <w:ind w:firstLine="422"/>
        <w:spacing w:line="360" w:lineRule="auto"/>
      </w:pPr>
      <w:r>
        <w:rPr>
          <w:rFonts w:hint="eastAsia"/>
          <w:b/>
        </w:rPr>
        <w:t xml:space="preserve">（七）仓储业。</w:t>
      </w:r>
      <w:r>
        <w:rPr>
          <w:rFonts w:hint="eastAsia"/>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11"/>
        <w:ind w:firstLine="422"/>
        <w:spacing w:line="360" w:lineRule="auto"/>
      </w:pPr>
      <w:r>
        <w:rPr>
          <w:rFonts w:hint="eastAsia"/>
          <w:b/>
        </w:rPr>
        <w:t xml:space="preserve">（八）邮政业。</w:t>
      </w:r>
      <w:r>
        <w:rPr>
          <w:rFonts w:hint="eastAsia"/>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11"/>
        <w:ind w:firstLine="422"/>
        <w:spacing w:line="360" w:lineRule="auto"/>
      </w:pPr>
      <w:r>
        <w:rPr>
          <w:rFonts w:hint="eastAsia"/>
          <w:b/>
        </w:rPr>
        <w:t xml:space="preserve">（九）住宿业。</w:t>
      </w:r>
      <w:r>
        <w:rPr>
          <w:rFonts w:hint="eastAsia"/>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11"/>
        <w:ind w:firstLine="422"/>
        <w:spacing w:line="360" w:lineRule="auto"/>
      </w:pPr>
      <w:r>
        <w:rPr>
          <w:rFonts w:hint="eastAsia"/>
          <w:b/>
        </w:rPr>
        <w:t xml:space="preserve">（十）餐饮业。</w:t>
      </w:r>
      <w:r>
        <w:rPr>
          <w:rFonts w:hint="eastAsia"/>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11"/>
        <w:ind w:firstLine="422"/>
        <w:spacing w:line="360" w:lineRule="auto"/>
      </w:pPr>
      <w:r>
        <w:rPr>
          <w:rFonts w:hint="eastAsia"/>
          <w:b/>
        </w:rPr>
        <w:t xml:space="preserve">（十一）信息传输业。</w:t>
      </w:r>
      <w:r>
        <w:rPr>
          <w:rFonts w:hint="eastAsia"/>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11"/>
        <w:ind w:firstLine="422"/>
        <w:spacing w:line="360" w:lineRule="auto"/>
      </w:pPr>
      <w:r>
        <w:rPr>
          <w:rFonts w:hint="eastAsia"/>
          <w:b/>
        </w:rPr>
        <w:t xml:space="preserve">（十二）软件和信息技术服务业。</w:t>
      </w:r>
      <w:r>
        <w:rPr>
          <w:rFonts w:hint="eastAsia"/>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11"/>
        <w:ind w:firstLine="422"/>
        <w:spacing w:line="360" w:lineRule="auto"/>
      </w:pPr>
      <w:r>
        <w:rPr>
          <w:rFonts w:hint="eastAsia"/>
          <w:b/>
        </w:rPr>
        <w:t xml:space="preserve">（十三）房地产开发经营。</w:t>
      </w:r>
      <w:r>
        <w:rPr>
          <w:rFonts w:hint="eastAsia"/>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11"/>
        <w:ind w:firstLine="422"/>
        <w:spacing w:line="360" w:lineRule="auto"/>
      </w:pPr>
      <w:r>
        <w:rPr>
          <w:rFonts w:hint="eastAsia"/>
          <w:b/>
        </w:rPr>
        <w:t xml:space="preserve">（十四）物业管理。</w:t>
      </w:r>
      <w:r>
        <w:rPr>
          <w:rFonts w:hint="eastAsia"/>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011"/>
        <w:ind w:firstLine="422"/>
        <w:spacing w:line="360" w:lineRule="auto"/>
      </w:pPr>
      <w:r>
        <w:rPr>
          <w:rFonts w:hint="eastAsia"/>
          <w:b/>
        </w:rPr>
        <w:t xml:space="preserve">（十五）租赁和商务服务业。</w:t>
      </w:r>
      <w:r>
        <w:rPr>
          <w:rFonts w:hint="eastAsia"/>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222"/>
        <w:ind w:firstLine="422"/>
        <w:spacing w:line="360" w:lineRule="auto"/>
        <w:rPr>
          <w:rFonts w:ascii="Arial" w:hAnsi="Arial" w:eastAsia="Arial" w:cs="Arial"/>
          <w:sz w:val="21"/>
          <w:szCs w:val="21"/>
          <w:lang w:val="zh-CN"/>
        </w:rPr>
      </w:pPr>
      <w:r>
        <w:rPr>
          <w:rFonts w:hint="eastAsia" w:ascii="Arial" w:hAnsi="Arial" w:eastAsia="Arial" w:cs="Arial"/>
          <w:b/>
          <w:sz w:val="21"/>
          <w:szCs w:val="21"/>
        </w:rPr>
        <w:t xml:space="preserve">（十六）其他未列明行业。</w:t>
      </w:r>
      <w:r>
        <w:rPr>
          <w:rFonts w:hint="eastAsia" w:ascii="Arial" w:hAnsi="Arial" w:eastAsia="Arial" w:cs="Arial"/>
          <w:sz w:val="21"/>
          <w:szCs w:val="21"/>
        </w:rPr>
        <w:t xml:space="preserve">从业人员300人以下的为中小微型企业。其中，从业人员100人及以上的为中型企业；从业人员10人及以上的为小型企业；从业人员10人以下的为微型企业。</w:t>
      </w:r>
      <w:r>
        <w:rPr>
          <w:rFonts w:ascii="Arial" w:hAnsi="Arial" w:eastAsia="Arial" w:cs="Arial"/>
          <w:sz w:val="21"/>
          <w:szCs w:val="21"/>
          <w:lang w:val="zh-CN"/>
        </w:rPr>
      </w:r>
      <w:r/>
    </w:p>
    <w:p>
      <w:pPr>
        <w:pStyle w:val="1011"/>
        <w:spacing w:line="276" w:lineRule="auto"/>
        <w:rPr>
          <w:rFonts w:ascii="宋体" w:hAnsi="宋体" w:cs="宋体"/>
        </w:rPr>
        <w:sectPr>
          <w:footnotePr/>
          <w:endnotePr/>
          <w:type w:val="nextPage"/>
          <w:pgSz w:w="11907" w:h="16839" w:orient="portrait"/>
          <w:pgMar w:top="921" w:right="1106" w:bottom="676" w:left="1104" w:header="601" w:footer="511" w:gutter="0"/>
          <w:cols w:num="1" w:sep="0" w:space="720" w:equalWidth="1"/>
          <w:docGrid w:linePitch="360"/>
        </w:sectPr>
      </w:pPr>
      <w:r>
        <w:rPr>
          <w:rFonts w:ascii="宋体" w:hAnsi="宋体" w:cs="宋体"/>
        </w:rPr>
      </w:r>
      <w:r/>
    </w:p>
    <w:p>
      <w:pPr>
        <w:pStyle w:val="1011"/>
        <w:ind w:left="37"/>
        <w:spacing w:before="157" w:line="221" w:lineRule="auto"/>
        <w:rPr>
          <w:rFonts w:ascii="宋体" w:hAnsi="宋体" w:cs="宋体"/>
        </w:rPr>
      </w:pPr>
      <w:r>
        <w:rPr>
          <w:rFonts w:ascii="宋体" w:hAnsi="宋体" w:cs="宋体"/>
          <w:b/>
          <w:bCs/>
          <w:spacing w:val="-4"/>
        </w:rPr>
        <w:t xml:space="preserve">格式10、残疾人福利性单位声明函（如有）</w:t>
      </w:r>
      <w:r>
        <w:rPr>
          <w:rFonts w:ascii="宋体" w:hAnsi="宋体" w:cs="宋体"/>
        </w:rPr>
      </w:r>
      <w:r/>
    </w:p>
    <w:p>
      <w:pPr>
        <w:pStyle w:val="1182"/>
        <w:spacing w:line="288" w:lineRule="auto"/>
      </w:pPr>
      <w:r/>
      <w:r/>
    </w:p>
    <w:p>
      <w:pPr>
        <w:pStyle w:val="1011"/>
        <w:ind w:left="3629"/>
        <w:spacing w:before="68" w:line="221" w:lineRule="auto"/>
        <w:rPr>
          <w:rFonts w:ascii="宋体" w:hAnsi="宋体" w:cs="宋体"/>
        </w:rPr>
      </w:pPr>
      <w:r>
        <w:rPr>
          <w:rFonts w:ascii="宋体" w:hAnsi="宋体" w:cs="宋体"/>
          <w:b/>
          <w:bCs/>
          <w:spacing w:val="8"/>
        </w:rPr>
        <w:t xml:space="preserve">残疾人福利性单位声明函</w:t>
      </w:r>
      <w:r>
        <w:rPr>
          <w:rFonts w:ascii="宋体" w:hAnsi="宋体" w:cs="宋体"/>
        </w:rPr>
      </w:r>
      <w:r/>
    </w:p>
    <w:p>
      <w:pPr>
        <w:pStyle w:val="1182"/>
        <w:spacing w:line="248" w:lineRule="auto"/>
      </w:pPr>
      <w:r/>
      <w:r/>
    </w:p>
    <w:p>
      <w:pPr>
        <w:pStyle w:val="1182"/>
        <w:spacing w:line="248" w:lineRule="auto"/>
      </w:pPr>
      <w:r/>
      <w:r/>
    </w:p>
    <w:p>
      <w:pPr>
        <w:pStyle w:val="1011"/>
        <w:ind w:left="28" w:right="35" w:firstLine="453"/>
        <w:jc w:val="both"/>
        <w:spacing w:before="68" w:line="359" w:lineRule="auto"/>
        <w:rPr>
          <w:rFonts w:ascii="宋体" w:hAnsi="宋体" w:cs="宋体"/>
        </w:rPr>
      </w:pPr>
      <w:r>
        <w:rPr>
          <w:rFonts w:ascii="宋体" w:hAnsi="宋体" w:cs="宋体"/>
          <w:spacing w:val="12"/>
        </w:rPr>
        <w:t xml:space="preserve">本单位郑重声明，根据《财政部民政部  中国残疾人联合会关于促进残疾人就业政府采购政</w:t>
      </w:r>
      <w:r>
        <w:rPr>
          <w:rFonts w:ascii="宋体" w:hAnsi="宋体" w:cs="宋体"/>
          <w:spacing w:val="9"/>
        </w:rPr>
        <w:t xml:space="preserve">策的通知》（财库〔2017〕141号）的规定，本单位为符合条件的残疾人福利性单位，且本单位参加______单位的______项目采购活动提供本单位制造的货物（由本单位承担工程/提供服务</w:t>
      </w:r>
      <w:r>
        <w:rPr>
          <w:rFonts w:ascii="宋体" w:hAnsi="宋体" w:cs="宋体"/>
          <w:spacing w:val="-1"/>
        </w:rPr>
        <w:t xml:space="preserve">），</w:t>
      </w:r>
      <w:r>
        <w:rPr>
          <w:rFonts w:ascii="宋体" w:hAnsi="宋体" w:cs="宋体"/>
          <w:spacing w:val="9"/>
        </w:rPr>
        <w:t xml:space="preserve">或者提</w:t>
      </w:r>
      <w:r>
        <w:rPr>
          <w:rFonts w:ascii="宋体" w:hAnsi="宋体" w:cs="宋体"/>
          <w:spacing w:val="11"/>
        </w:rPr>
        <w:t xml:space="preserve">供其他残疾人福利性单位制造的货物（不包括使用非残疾人福利性单位注册商标的货物）。</w:t>
      </w:r>
      <w:r>
        <w:rPr>
          <w:rFonts w:ascii="宋体" w:hAnsi="宋体" w:cs="宋体"/>
        </w:rPr>
      </w:r>
      <w:r/>
    </w:p>
    <w:p>
      <w:pPr>
        <w:pStyle w:val="1011"/>
        <w:ind w:left="481"/>
        <w:spacing w:line="220" w:lineRule="auto"/>
        <w:rPr>
          <w:rFonts w:ascii="宋体" w:hAnsi="宋体" w:cs="宋体"/>
        </w:rPr>
      </w:pPr>
      <w:r>
        <w:rPr>
          <w:rFonts w:ascii="宋体" w:hAnsi="宋体" w:cs="宋体"/>
          <w:spacing w:val="11"/>
        </w:rPr>
        <w:t xml:space="preserve">本单位对上述声明的真实性负责。如有虚假，将依法承担相应责任。</w:t>
      </w:r>
      <w:r>
        <w:rPr>
          <w:rFonts w:ascii="宋体" w:hAnsi="宋体" w:cs="宋体"/>
        </w:rPr>
      </w:r>
      <w:r/>
    </w:p>
    <w:p>
      <w:pPr>
        <w:pStyle w:val="1182"/>
        <w:spacing w:line="267" w:lineRule="auto"/>
      </w:pPr>
      <w:r/>
      <w:r/>
    </w:p>
    <w:p>
      <w:pPr>
        <w:pStyle w:val="1182"/>
        <w:spacing w:line="268" w:lineRule="auto"/>
      </w:pPr>
      <w:r/>
      <w:r/>
    </w:p>
    <w:p>
      <w:pPr>
        <w:pStyle w:val="1182"/>
        <w:spacing w:line="268" w:lineRule="auto"/>
      </w:pPr>
      <w:r/>
      <w:r/>
    </w:p>
    <w:p>
      <w:pPr>
        <w:pStyle w:val="1011"/>
        <w:ind w:left="458"/>
        <w:spacing w:before="68" w:line="221" w:lineRule="auto"/>
        <w:rPr>
          <w:rFonts w:ascii="宋体" w:hAnsi="宋体" w:cs="宋体"/>
        </w:rPr>
      </w:pPr>
      <w:r>
        <w:rPr>
          <w:rFonts w:ascii="宋体" w:hAnsi="宋体" w:cs="宋体"/>
          <w:spacing w:val="-1"/>
        </w:rPr>
        <w:t xml:space="preserve">单位名称（盖章</w:t>
      </w:r>
      <w:r>
        <w:rPr>
          <w:rFonts w:ascii="宋体" w:hAnsi="宋体" w:cs="宋体"/>
          <w:spacing w:val="-13"/>
        </w:rPr>
        <w:t xml:space="preserve">）：</w:t>
      </w:r>
      <w:r>
        <w:rPr>
          <w:rFonts w:ascii="宋体" w:hAnsi="宋体" w:cs="宋体"/>
        </w:rPr>
      </w:r>
      <w:r/>
    </w:p>
    <w:p>
      <w:pPr>
        <w:pStyle w:val="1011"/>
        <w:ind w:left="497"/>
        <w:spacing w:before="158" w:line="221" w:lineRule="auto"/>
        <w:rPr>
          <w:rFonts w:ascii="宋体" w:hAnsi="宋体" w:cs="宋体"/>
        </w:rPr>
      </w:pPr>
      <w:r>
        <w:rPr>
          <w:rFonts w:ascii="宋体" w:hAnsi="宋体" w:cs="宋体"/>
          <w:spacing w:val="-11"/>
        </w:rPr>
        <w:t xml:space="preserve">日期：年月日</w:t>
      </w:r>
      <w:r>
        <w:rPr>
          <w:rFonts w:ascii="宋体" w:hAnsi="宋体" w:cs="宋体"/>
        </w:rPr>
      </w:r>
      <w:r/>
    </w:p>
    <w:p>
      <w:pPr>
        <w:pStyle w:val="1011"/>
        <w:spacing w:line="221" w:lineRule="auto"/>
        <w:rPr>
          <w:rFonts w:ascii="宋体" w:hAnsi="宋体" w:cs="宋体"/>
        </w:rPr>
        <w:sectPr>
          <w:footerReference w:type="default" r:id="rId27"/>
          <w:footnotePr/>
          <w:endnotePr/>
          <w:type w:val="nextPage"/>
          <w:pgSz w:w="11907" w:h="16839" w:orient="portrait"/>
          <w:pgMar w:top="921" w:right="1106" w:bottom="676" w:left="1104" w:header="601" w:footer="511" w:gutter="0"/>
          <w:cols w:num="1" w:sep="0" w:space="720" w:equalWidth="1"/>
          <w:docGrid w:linePitch="360"/>
        </w:sectPr>
      </w:pPr>
      <w:r>
        <w:rPr>
          <w:rFonts w:ascii="宋体" w:hAnsi="宋体" w:cs="宋体"/>
        </w:rPr>
      </w:r>
      <w:r/>
    </w:p>
    <w:p>
      <w:pPr>
        <w:pStyle w:val="1011"/>
        <w:spacing w:before="157" w:line="221" w:lineRule="auto"/>
        <w:rPr>
          <w:rFonts w:ascii="宋体" w:hAnsi="宋体" w:cs="宋体"/>
          <w:b/>
          <w:bCs/>
          <w:spacing w:val="-5"/>
          <w:sz w:val="24"/>
        </w:rPr>
      </w:pPr>
      <w:r/>
      <w:bookmarkStart w:id="83" w:name="OLE_LINK78"/>
      <w:r>
        <w:rPr>
          <w:rFonts w:ascii="宋体" w:hAnsi="宋体" w:cs="宋体"/>
          <w:b/>
          <w:bCs/>
          <w:spacing w:val="-5"/>
          <w:sz w:val="24"/>
        </w:rPr>
      </w:r>
      <w:r/>
    </w:p>
    <w:p>
      <w:pPr>
        <w:pStyle w:val="1011"/>
        <w:ind w:left="37"/>
        <w:spacing w:before="157" w:line="221" w:lineRule="auto"/>
        <w:rPr>
          <w:rFonts w:ascii="宋体" w:hAnsi="宋体" w:cs="宋体"/>
          <w:b/>
          <w:bCs/>
          <w:spacing w:val="-5"/>
          <w:sz w:val="24"/>
        </w:rPr>
      </w:pPr>
      <w:r>
        <w:rPr>
          <w:rFonts w:ascii="宋体" w:hAnsi="宋体" w:cs="宋体"/>
          <w:b/>
          <w:bCs/>
          <w:spacing w:val="-5"/>
          <w:sz w:val="24"/>
        </w:rPr>
      </w:r>
      <w:r/>
    </w:p>
    <w:p>
      <w:pPr>
        <w:pStyle w:val="1011"/>
        <w:ind w:left="37"/>
        <w:spacing w:before="157" w:line="221" w:lineRule="auto"/>
        <w:rPr>
          <w:rFonts w:ascii="宋体" w:hAnsi="宋体" w:cs="宋体"/>
        </w:rPr>
      </w:pPr>
      <w:r>
        <w:rPr>
          <w:rFonts w:ascii="宋体" w:hAnsi="宋体" w:cs="宋体"/>
          <w:b/>
          <w:bCs/>
          <w:spacing w:val="-5"/>
          <w:sz w:val="24"/>
        </w:rPr>
        <w:t xml:space="preserve">格式1</w:t>
      </w:r>
      <w:r>
        <w:rPr>
          <w:rFonts w:hint="eastAsia" w:ascii="宋体" w:hAnsi="宋体" w:cs="宋体"/>
          <w:b/>
          <w:bCs/>
          <w:spacing w:val="-5"/>
          <w:sz w:val="24"/>
        </w:rPr>
        <w:t xml:space="preserve">1</w:t>
      </w:r>
      <w:r>
        <w:rPr>
          <w:rFonts w:ascii="宋体" w:hAnsi="宋体" w:cs="宋体"/>
          <w:b/>
          <w:bCs/>
          <w:spacing w:val="-5"/>
          <w:sz w:val="24"/>
        </w:rPr>
        <w:t xml:space="preserve">、</w:t>
      </w:r>
      <w:r>
        <w:rPr>
          <w:rFonts w:ascii="宋体" w:hAnsi="宋体" w:cs="宋体"/>
          <w:b/>
          <w:bCs/>
          <w:spacing w:val="-5"/>
        </w:rPr>
        <w:t xml:space="preserve">服务条款偏离表</w:t>
      </w:r>
      <w:r>
        <w:rPr>
          <w:rFonts w:ascii="宋体" w:hAnsi="宋体" w:cs="宋体"/>
        </w:rPr>
      </w:r>
      <w:r/>
    </w:p>
    <w:p>
      <w:pPr>
        <w:pStyle w:val="1011"/>
        <w:ind w:left="4117"/>
        <w:spacing w:before="46" w:line="221" w:lineRule="auto"/>
        <w:rPr>
          <w:rFonts w:ascii="宋体" w:hAnsi="宋体" w:cs="宋体"/>
        </w:rPr>
      </w:pPr>
      <w:r>
        <w:rPr>
          <w:rFonts w:ascii="宋体" w:hAnsi="宋体" w:cs="宋体"/>
          <w:b/>
          <w:bCs/>
          <w:spacing w:val="-3"/>
        </w:rPr>
        <w:t xml:space="preserve">服务条款偏离表</w:t>
      </w:r>
      <w:r>
        <w:rPr>
          <w:rFonts w:ascii="宋体" w:hAnsi="宋体" w:cs="宋体"/>
        </w:rPr>
      </w:r>
      <w:r/>
    </w:p>
    <w:p>
      <w:pPr>
        <w:pStyle w:val="1182"/>
        <w:spacing w:line="247" w:lineRule="auto"/>
      </w:pPr>
      <w:r/>
      <w:r/>
    </w:p>
    <w:p>
      <w:pPr>
        <w:pStyle w:val="1182"/>
        <w:spacing w:line="248" w:lineRule="auto"/>
      </w:pPr>
      <w:r/>
      <w:r/>
    </w:p>
    <w:p>
      <w:pPr>
        <w:pStyle w:val="1011"/>
        <w:ind w:left="460"/>
        <w:spacing w:before="68" w:line="221" w:lineRule="auto"/>
        <w:rPr>
          <w:rFonts w:ascii="宋体" w:hAnsi="宋体" w:cs="宋体"/>
        </w:rPr>
      </w:pPr>
      <w:r>
        <w:rPr>
          <w:rFonts w:ascii="宋体" w:hAnsi="宋体" w:cs="宋体"/>
          <w:spacing w:val="-7"/>
        </w:rPr>
        <w:t xml:space="preserve">项目编号：</w:t>
      </w:r>
      <w:r>
        <w:rPr>
          <w:rFonts w:ascii="宋体" w:hAnsi="宋体" w:cs="宋体"/>
        </w:rPr>
      </w:r>
      <w:r/>
    </w:p>
    <w:p>
      <w:pPr>
        <w:pStyle w:val="1011"/>
        <w:ind w:left="460"/>
        <w:spacing w:before="216" w:line="222" w:lineRule="auto"/>
        <w:rPr>
          <w:rFonts w:ascii="宋体" w:hAnsi="宋体" w:cs="宋体"/>
        </w:rPr>
      </w:pPr>
      <w:r>
        <w:rPr>
          <w:rFonts w:ascii="宋体" w:hAnsi="宋体" w:cs="宋体"/>
          <w:spacing w:val="-7"/>
        </w:rPr>
        <w:t xml:space="preserve">项目名称：</w:t>
      </w:r>
      <w:r>
        <w:rPr>
          <w:rFonts w:ascii="宋体" w:hAnsi="宋体" w:cs="宋体"/>
        </w:rPr>
      </w:r>
      <w:r/>
    </w:p>
    <w:p>
      <w:pPr>
        <w:pStyle w:val="1011"/>
        <w:spacing w:line="87" w:lineRule="exact"/>
      </w:pPr>
      <w:r/>
      <w:r/>
    </w:p>
    <w:tbl>
      <w:tblPr>
        <w:tblW w:w="8740" w:type="dxa"/>
        <w:tblInd w:w="47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2"/>
        <w:gridCol w:w="2447"/>
        <w:gridCol w:w="2125"/>
        <w:gridCol w:w="2144"/>
        <w:gridCol w:w="1312"/>
      </w:tblGrid>
      <w:tr>
        <w:trPr>
          <w:trHeight w:val="323"/>
        </w:trPr>
        <w:tc>
          <w:tcPr>
            <w:tcW w:w="712" w:type="dxa"/>
            <w:vAlign w:val="top"/>
            <w:textDirection w:val="lrTb"/>
            <w:noWrap w:val="false"/>
          </w:tcPr>
          <w:p>
            <w:pPr>
              <w:pStyle w:val="1198"/>
              <w:ind w:left="151"/>
              <w:spacing w:before="58" w:line="223" w:lineRule="auto"/>
              <w:rPr>
                <w:lang w:eastAsia="en-US"/>
              </w:rPr>
            </w:pPr>
            <w:r>
              <w:rPr>
                <w:spacing w:val="-2"/>
                <w:lang w:eastAsia="en-US"/>
              </w:rPr>
              <w:t xml:space="preserve">序号</w:t>
            </w:r>
            <w:r>
              <w:rPr>
                <w:lang w:eastAsia="en-US"/>
              </w:rPr>
            </w:r>
            <w:r/>
          </w:p>
        </w:tc>
        <w:tc>
          <w:tcPr>
            <w:tcW w:w="2447" w:type="dxa"/>
            <w:vAlign w:val="top"/>
            <w:textDirection w:val="lrTb"/>
            <w:noWrap w:val="false"/>
          </w:tcPr>
          <w:p>
            <w:pPr>
              <w:pStyle w:val="1198"/>
              <w:ind w:left="809"/>
              <w:spacing w:before="58" w:line="221" w:lineRule="auto"/>
              <w:rPr>
                <w:lang w:eastAsia="en-US"/>
              </w:rPr>
            </w:pPr>
            <w:r>
              <w:rPr>
                <w:spacing w:val="-2"/>
                <w:lang w:eastAsia="en-US"/>
              </w:rPr>
              <w:t xml:space="preserve">条款名称</w:t>
            </w:r>
            <w:r>
              <w:rPr>
                <w:lang w:eastAsia="en-US"/>
              </w:rPr>
            </w:r>
            <w:r/>
          </w:p>
        </w:tc>
        <w:tc>
          <w:tcPr>
            <w:tcW w:w="2125" w:type="dxa"/>
            <w:vAlign w:val="top"/>
            <w:textDirection w:val="lrTb"/>
            <w:noWrap w:val="false"/>
          </w:tcPr>
          <w:p>
            <w:pPr>
              <w:pStyle w:val="1198"/>
              <w:ind w:left="647"/>
              <w:spacing w:before="57" w:line="221" w:lineRule="auto"/>
              <w:rPr>
                <w:lang w:eastAsia="en-US"/>
              </w:rPr>
            </w:pPr>
            <w:r>
              <w:rPr>
                <w:spacing w:val="-1"/>
                <w:lang w:eastAsia="en-US"/>
              </w:rPr>
              <w:t xml:space="preserve">采购要求</w:t>
            </w:r>
            <w:r>
              <w:rPr>
                <w:lang w:eastAsia="en-US"/>
              </w:rPr>
            </w:r>
            <w:r/>
          </w:p>
        </w:tc>
        <w:tc>
          <w:tcPr>
            <w:tcW w:w="2144" w:type="dxa"/>
            <w:vAlign w:val="top"/>
            <w:textDirection w:val="lrTb"/>
            <w:noWrap w:val="false"/>
          </w:tcPr>
          <w:p>
            <w:pPr>
              <w:pStyle w:val="1198"/>
              <w:ind w:left="669"/>
              <w:spacing w:before="58" w:line="222" w:lineRule="auto"/>
              <w:rPr>
                <w:lang w:eastAsia="en-US"/>
              </w:rPr>
            </w:pPr>
            <w:r>
              <w:rPr>
                <w:spacing w:val="-4"/>
                <w:lang w:eastAsia="en-US"/>
              </w:rPr>
              <w:t xml:space="preserve">响应情况</w:t>
            </w:r>
            <w:r>
              <w:rPr>
                <w:lang w:eastAsia="en-US"/>
              </w:rPr>
            </w:r>
            <w:r/>
          </w:p>
        </w:tc>
        <w:tc>
          <w:tcPr>
            <w:tcW w:w="1312" w:type="dxa"/>
            <w:vAlign w:val="top"/>
            <w:textDirection w:val="lrTb"/>
            <w:noWrap w:val="false"/>
          </w:tcPr>
          <w:p>
            <w:pPr>
              <w:pStyle w:val="1198"/>
              <w:ind w:left="454"/>
              <w:spacing w:before="58" w:line="221" w:lineRule="auto"/>
              <w:rPr>
                <w:lang w:eastAsia="en-US"/>
              </w:rPr>
            </w:pPr>
            <w:r>
              <w:rPr>
                <w:spacing w:val="-3"/>
                <w:lang w:eastAsia="en-US"/>
              </w:rPr>
              <w:t xml:space="preserve">说明</w:t>
            </w:r>
            <w:r>
              <w:rPr>
                <w:lang w:eastAsia="en-US"/>
              </w:rPr>
            </w:r>
            <w:r/>
          </w:p>
        </w:tc>
      </w:tr>
      <w:tr>
        <w:trPr>
          <w:trHeight w:val="411"/>
        </w:trPr>
        <w:tc>
          <w:tcPr>
            <w:tcW w:w="712" w:type="dxa"/>
            <w:vAlign w:val="top"/>
            <w:textDirection w:val="lrTb"/>
            <w:noWrap w:val="false"/>
          </w:tcPr>
          <w:p>
            <w:pPr>
              <w:pStyle w:val="1198"/>
              <w:ind w:left="323"/>
              <w:spacing w:before="99" w:line="277" w:lineRule="exact"/>
              <w:rPr>
                <w:lang w:eastAsia="en-US"/>
              </w:rPr>
            </w:pPr>
            <w:r>
              <w:rPr>
                <w:position w:val="1"/>
                <w:lang w:eastAsia="en-US"/>
              </w:rPr>
              <w:t xml:space="preserve">1</w:t>
            </w:r>
            <w:r>
              <w:rPr>
                <w:lang w:eastAsia="en-US"/>
              </w:rPr>
            </w:r>
            <w:r/>
          </w:p>
        </w:tc>
        <w:tc>
          <w:tcPr>
            <w:tcW w:w="2447" w:type="dxa"/>
            <w:vAlign w:val="top"/>
            <w:textDirection w:val="lrTb"/>
            <w:noWrap w:val="false"/>
          </w:tcPr>
          <w:p>
            <w:pPr>
              <w:pStyle w:val="1011"/>
              <w:rPr>
                <w:rFonts w:eastAsia="Arial"/>
                <w:lang w:eastAsia="en-US"/>
              </w:rPr>
            </w:pPr>
            <w:r>
              <w:rPr>
                <w:rFonts w:eastAsia="Arial"/>
                <w:lang w:eastAsia="en-US"/>
              </w:rPr>
            </w:r>
            <w:r/>
          </w:p>
        </w:tc>
        <w:tc>
          <w:tcPr>
            <w:tcW w:w="2125" w:type="dxa"/>
            <w:vAlign w:val="top"/>
            <w:textDirection w:val="lrTb"/>
            <w:noWrap w:val="false"/>
          </w:tcPr>
          <w:p>
            <w:pPr>
              <w:pStyle w:val="1011"/>
              <w:rPr>
                <w:rFonts w:eastAsia="Arial"/>
                <w:lang w:eastAsia="en-US"/>
              </w:rPr>
            </w:pPr>
            <w:r>
              <w:rPr>
                <w:rFonts w:eastAsia="Arial"/>
                <w:lang w:eastAsia="en-US"/>
              </w:rPr>
            </w:r>
            <w:r/>
          </w:p>
        </w:tc>
        <w:tc>
          <w:tcPr>
            <w:tcW w:w="2144" w:type="dxa"/>
            <w:vAlign w:val="top"/>
            <w:textDirection w:val="lrTb"/>
            <w:noWrap w:val="false"/>
          </w:tcPr>
          <w:p>
            <w:pPr>
              <w:pStyle w:val="1011"/>
              <w:rPr>
                <w:rFonts w:eastAsia="Arial"/>
                <w:lang w:eastAsia="en-US"/>
              </w:rPr>
            </w:pPr>
            <w:r>
              <w:rPr>
                <w:rFonts w:eastAsia="Arial"/>
                <w:lang w:eastAsia="en-US"/>
              </w:rPr>
            </w:r>
            <w:r/>
          </w:p>
        </w:tc>
        <w:tc>
          <w:tcPr>
            <w:tcW w:w="1312" w:type="dxa"/>
            <w:vAlign w:val="top"/>
            <w:textDirection w:val="lrTb"/>
            <w:noWrap w:val="false"/>
          </w:tcPr>
          <w:p>
            <w:pPr>
              <w:pStyle w:val="1011"/>
              <w:rPr>
                <w:rFonts w:eastAsia="Arial"/>
                <w:lang w:eastAsia="en-US"/>
              </w:rPr>
            </w:pPr>
            <w:r>
              <w:rPr>
                <w:rFonts w:eastAsia="Arial"/>
                <w:lang w:eastAsia="en-US"/>
              </w:rPr>
            </w:r>
            <w:r/>
          </w:p>
        </w:tc>
      </w:tr>
      <w:tr>
        <w:trPr>
          <w:trHeight w:val="412"/>
        </w:trPr>
        <w:tc>
          <w:tcPr>
            <w:tcW w:w="712" w:type="dxa"/>
            <w:vAlign w:val="top"/>
            <w:textDirection w:val="lrTb"/>
            <w:noWrap w:val="false"/>
          </w:tcPr>
          <w:p>
            <w:pPr>
              <w:pStyle w:val="1198"/>
              <w:ind w:left="310"/>
              <w:spacing w:before="101" w:line="276" w:lineRule="exact"/>
              <w:rPr>
                <w:lang w:eastAsia="en-US"/>
              </w:rPr>
            </w:pPr>
            <w:r>
              <w:rPr>
                <w:position w:val="1"/>
                <w:lang w:eastAsia="en-US"/>
              </w:rPr>
              <w:t xml:space="preserve">2</w:t>
            </w:r>
            <w:r>
              <w:rPr>
                <w:lang w:eastAsia="en-US"/>
              </w:rPr>
            </w:r>
            <w:r/>
          </w:p>
        </w:tc>
        <w:tc>
          <w:tcPr>
            <w:tcW w:w="2447" w:type="dxa"/>
            <w:vAlign w:val="top"/>
            <w:textDirection w:val="lrTb"/>
            <w:noWrap w:val="false"/>
          </w:tcPr>
          <w:p>
            <w:pPr>
              <w:pStyle w:val="1011"/>
              <w:rPr>
                <w:rFonts w:eastAsia="Arial"/>
                <w:lang w:eastAsia="en-US"/>
              </w:rPr>
            </w:pPr>
            <w:r>
              <w:rPr>
                <w:rFonts w:eastAsia="Arial"/>
                <w:lang w:eastAsia="en-US"/>
              </w:rPr>
            </w:r>
            <w:r/>
          </w:p>
        </w:tc>
        <w:tc>
          <w:tcPr>
            <w:tcW w:w="2125" w:type="dxa"/>
            <w:vAlign w:val="top"/>
            <w:textDirection w:val="lrTb"/>
            <w:noWrap w:val="false"/>
          </w:tcPr>
          <w:p>
            <w:pPr>
              <w:pStyle w:val="1011"/>
              <w:rPr>
                <w:rFonts w:eastAsia="Arial"/>
                <w:lang w:eastAsia="en-US"/>
              </w:rPr>
            </w:pPr>
            <w:r>
              <w:rPr>
                <w:rFonts w:eastAsia="Arial"/>
                <w:lang w:eastAsia="en-US"/>
              </w:rPr>
            </w:r>
            <w:r/>
          </w:p>
        </w:tc>
        <w:tc>
          <w:tcPr>
            <w:tcW w:w="2144" w:type="dxa"/>
            <w:vAlign w:val="top"/>
            <w:textDirection w:val="lrTb"/>
            <w:noWrap w:val="false"/>
          </w:tcPr>
          <w:p>
            <w:pPr>
              <w:pStyle w:val="1011"/>
              <w:rPr>
                <w:rFonts w:eastAsia="Arial"/>
                <w:lang w:eastAsia="en-US"/>
              </w:rPr>
            </w:pPr>
            <w:r>
              <w:rPr>
                <w:rFonts w:eastAsia="Arial"/>
                <w:lang w:eastAsia="en-US"/>
              </w:rPr>
            </w:r>
            <w:r/>
          </w:p>
        </w:tc>
        <w:tc>
          <w:tcPr>
            <w:tcW w:w="1312" w:type="dxa"/>
            <w:vAlign w:val="top"/>
            <w:textDirection w:val="lrTb"/>
            <w:noWrap w:val="false"/>
          </w:tcPr>
          <w:p>
            <w:pPr>
              <w:pStyle w:val="1011"/>
              <w:rPr>
                <w:rFonts w:eastAsia="Arial"/>
                <w:lang w:eastAsia="en-US"/>
              </w:rPr>
            </w:pPr>
            <w:r>
              <w:rPr>
                <w:rFonts w:eastAsia="Arial"/>
                <w:lang w:eastAsia="en-US"/>
              </w:rPr>
            </w:r>
            <w:r/>
          </w:p>
        </w:tc>
      </w:tr>
      <w:tr>
        <w:trPr>
          <w:trHeight w:val="414"/>
        </w:trPr>
        <w:tc>
          <w:tcPr>
            <w:tcW w:w="712" w:type="dxa"/>
            <w:vAlign w:val="top"/>
            <w:textDirection w:val="lrTb"/>
            <w:noWrap w:val="false"/>
          </w:tcPr>
          <w:p>
            <w:pPr>
              <w:pStyle w:val="1198"/>
              <w:ind w:left="312"/>
              <w:spacing w:before="104" w:line="242" w:lineRule="auto"/>
              <w:rPr>
                <w:lang w:eastAsia="en-US"/>
              </w:rPr>
            </w:pPr>
            <w:r>
              <w:rPr>
                <w:lang w:eastAsia="en-US"/>
              </w:rPr>
              <w:t xml:space="preserve">3</w:t>
            </w:r>
            <w:r/>
          </w:p>
        </w:tc>
        <w:tc>
          <w:tcPr>
            <w:tcW w:w="2447" w:type="dxa"/>
            <w:vAlign w:val="top"/>
            <w:textDirection w:val="lrTb"/>
            <w:noWrap w:val="false"/>
          </w:tcPr>
          <w:p>
            <w:pPr>
              <w:pStyle w:val="1011"/>
              <w:rPr>
                <w:rFonts w:eastAsia="Arial"/>
                <w:lang w:eastAsia="en-US"/>
              </w:rPr>
            </w:pPr>
            <w:r>
              <w:rPr>
                <w:rFonts w:eastAsia="Arial"/>
                <w:lang w:eastAsia="en-US"/>
              </w:rPr>
            </w:r>
            <w:r/>
          </w:p>
        </w:tc>
        <w:tc>
          <w:tcPr>
            <w:tcW w:w="2125" w:type="dxa"/>
            <w:vAlign w:val="top"/>
            <w:textDirection w:val="lrTb"/>
            <w:noWrap w:val="false"/>
          </w:tcPr>
          <w:p>
            <w:pPr>
              <w:pStyle w:val="1011"/>
              <w:rPr>
                <w:rFonts w:eastAsia="Arial"/>
                <w:lang w:eastAsia="en-US"/>
              </w:rPr>
            </w:pPr>
            <w:r>
              <w:rPr>
                <w:rFonts w:eastAsia="Arial"/>
                <w:lang w:eastAsia="en-US"/>
              </w:rPr>
            </w:r>
            <w:r/>
          </w:p>
        </w:tc>
        <w:tc>
          <w:tcPr>
            <w:tcW w:w="2144" w:type="dxa"/>
            <w:vAlign w:val="top"/>
            <w:textDirection w:val="lrTb"/>
            <w:noWrap w:val="false"/>
          </w:tcPr>
          <w:p>
            <w:pPr>
              <w:pStyle w:val="1011"/>
              <w:rPr>
                <w:rFonts w:eastAsia="Arial"/>
                <w:lang w:eastAsia="en-US"/>
              </w:rPr>
            </w:pPr>
            <w:r>
              <w:rPr>
                <w:rFonts w:eastAsia="Arial"/>
                <w:lang w:eastAsia="en-US"/>
              </w:rPr>
            </w:r>
            <w:r/>
          </w:p>
        </w:tc>
        <w:tc>
          <w:tcPr>
            <w:tcW w:w="1312" w:type="dxa"/>
            <w:vAlign w:val="top"/>
            <w:textDirection w:val="lrTb"/>
            <w:noWrap w:val="false"/>
          </w:tcPr>
          <w:p>
            <w:pPr>
              <w:pStyle w:val="1011"/>
              <w:rPr>
                <w:rFonts w:eastAsia="Arial"/>
                <w:lang w:eastAsia="en-US"/>
              </w:rPr>
            </w:pPr>
            <w:r>
              <w:rPr>
                <w:rFonts w:eastAsia="Arial"/>
                <w:lang w:eastAsia="en-US"/>
              </w:rPr>
            </w:r>
            <w:r/>
          </w:p>
        </w:tc>
      </w:tr>
      <w:tr>
        <w:trPr>
          <w:trHeight w:val="416"/>
        </w:trPr>
        <w:tc>
          <w:tcPr>
            <w:tcW w:w="712" w:type="dxa"/>
            <w:vAlign w:val="top"/>
            <w:textDirection w:val="lrTb"/>
            <w:noWrap w:val="false"/>
          </w:tcPr>
          <w:p>
            <w:pPr>
              <w:pStyle w:val="1198"/>
              <w:ind w:left="268"/>
              <w:spacing w:before="103" w:line="302" w:lineRule="exact"/>
              <w:rPr>
                <w:lang w:eastAsia="en-US"/>
              </w:rPr>
            </w:pPr>
            <w:r>
              <w:rPr>
                <w:position w:val="1"/>
                <w:lang w:eastAsia="en-US"/>
              </w:rPr>
              <w:t xml:space="preserve">…</w:t>
            </w:r>
            <w:r>
              <w:rPr>
                <w:lang w:eastAsia="en-US"/>
              </w:rPr>
            </w:r>
            <w:r/>
          </w:p>
        </w:tc>
        <w:tc>
          <w:tcPr>
            <w:tcW w:w="2447" w:type="dxa"/>
            <w:vAlign w:val="top"/>
            <w:textDirection w:val="lrTb"/>
            <w:noWrap w:val="false"/>
          </w:tcPr>
          <w:p>
            <w:pPr>
              <w:pStyle w:val="1011"/>
              <w:rPr>
                <w:rFonts w:eastAsia="Arial"/>
                <w:lang w:eastAsia="en-US"/>
              </w:rPr>
            </w:pPr>
            <w:r>
              <w:rPr>
                <w:rFonts w:eastAsia="Arial"/>
                <w:lang w:eastAsia="en-US"/>
              </w:rPr>
            </w:r>
            <w:r/>
          </w:p>
        </w:tc>
        <w:tc>
          <w:tcPr>
            <w:tcW w:w="2125" w:type="dxa"/>
            <w:vAlign w:val="top"/>
            <w:textDirection w:val="lrTb"/>
            <w:noWrap w:val="false"/>
          </w:tcPr>
          <w:p>
            <w:pPr>
              <w:pStyle w:val="1011"/>
              <w:rPr>
                <w:rFonts w:eastAsia="Arial"/>
                <w:lang w:eastAsia="en-US"/>
              </w:rPr>
            </w:pPr>
            <w:r>
              <w:rPr>
                <w:rFonts w:eastAsia="Arial"/>
                <w:lang w:eastAsia="en-US"/>
              </w:rPr>
            </w:r>
            <w:r/>
          </w:p>
        </w:tc>
        <w:tc>
          <w:tcPr>
            <w:tcW w:w="2144" w:type="dxa"/>
            <w:vAlign w:val="top"/>
            <w:textDirection w:val="lrTb"/>
            <w:noWrap w:val="false"/>
          </w:tcPr>
          <w:p>
            <w:pPr>
              <w:pStyle w:val="1011"/>
              <w:rPr>
                <w:rFonts w:eastAsia="Arial"/>
                <w:lang w:eastAsia="en-US"/>
              </w:rPr>
            </w:pPr>
            <w:r>
              <w:rPr>
                <w:rFonts w:eastAsia="Arial"/>
                <w:lang w:eastAsia="en-US"/>
              </w:rPr>
            </w:r>
            <w:r/>
          </w:p>
        </w:tc>
        <w:tc>
          <w:tcPr>
            <w:tcW w:w="1312" w:type="dxa"/>
            <w:vAlign w:val="top"/>
            <w:textDirection w:val="lrTb"/>
            <w:noWrap w:val="false"/>
          </w:tcPr>
          <w:p>
            <w:pPr>
              <w:pStyle w:val="1011"/>
              <w:rPr>
                <w:rFonts w:eastAsia="Arial"/>
                <w:lang w:eastAsia="en-US"/>
              </w:rPr>
            </w:pPr>
            <w:r>
              <w:rPr>
                <w:rFonts w:eastAsia="Arial"/>
                <w:lang w:eastAsia="en-US"/>
              </w:rPr>
            </w:r>
            <w:r/>
          </w:p>
        </w:tc>
      </w:tr>
    </w:tbl>
    <w:p>
      <w:pPr>
        <w:pStyle w:val="1182"/>
        <w:spacing w:line="305" w:lineRule="auto"/>
      </w:pPr>
      <w:r/>
      <w:r/>
    </w:p>
    <w:p>
      <w:pPr>
        <w:pStyle w:val="1182"/>
        <w:spacing w:line="305" w:lineRule="auto"/>
      </w:pPr>
      <w:r/>
      <w:r/>
    </w:p>
    <w:p>
      <w:pPr>
        <w:pStyle w:val="1182"/>
        <w:spacing w:line="305" w:lineRule="auto"/>
      </w:pPr>
      <w:r/>
      <w:r/>
    </w:p>
    <w:p>
      <w:pPr>
        <w:pStyle w:val="1011"/>
        <w:ind w:left="459"/>
        <w:spacing w:before="68" w:line="221" w:lineRule="auto"/>
        <w:rPr>
          <w:rFonts w:ascii="宋体" w:hAnsi="宋体" w:cs="宋体"/>
        </w:rPr>
      </w:pPr>
      <w:r>
        <w:rPr>
          <w:rFonts w:ascii="宋体" w:hAnsi="宋体" w:cs="宋体"/>
          <w:spacing w:val="-4"/>
        </w:rPr>
        <w:t xml:space="preserve">投标人（公章</w:t>
      </w:r>
      <w:r>
        <w:rPr>
          <w:rFonts w:ascii="宋体" w:hAnsi="宋体" w:cs="宋体"/>
          <w:spacing w:val="1"/>
        </w:rPr>
        <w:t xml:space="preserve">）：</w:t>
      </w:r>
      <w:r>
        <w:rPr>
          <w:rFonts w:ascii="宋体" w:hAnsi="宋体" w:cs="宋体"/>
        </w:rPr>
      </w:r>
      <w:r/>
    </w:p>
    <w:p>
      <w:pPr>
        <w:pStyle w:val="1011"/>
        <w:ind w:left="457"/>
        <w:spacing w:before="188" w:line="221" w:lineRule="auto"/>
        <w:rPr>
          <w:rFonts w:ascii="宋体" w:hAnsi="宋体" w:cs="宋体"/>
        </w:rPr>
      </w:pPr>
      <w:r>
        <w:rPr>
          <w:rFonts w:ascii="宋体" w:hAnsi="宋体" w:cs="宋体"/>
          <w:spacing w:val="-1"/>
        </w:rPr>
        <w:t xml:space="preserve">法定代表人或代理人（签字或盖章</w:t>
      </w:r>
      <w:r>
        <w:rPr>
          <w:rFonts w:ascii="宋体" w:hAnsi="宋体" w:cs="宋体"/>
          <w:spacing w:val="4"/>
        </w:rPr>
        <w:t xml:space="preserve">）：</w:t>
      </w:r>
      <w:r>
        <w:rPr>
          <w:rFonts w:ascii="宋体" w:hAnsi="宋体" w:cs="宋体"/>
        </w:rPr>
      </w:r>
      <w:r/>
    </w:p>
    <w:p>
      <w:pPr>
        <w:pStyle w:val="1011"/>
        <w:ind w:left="493"/>
        <w:spacing w:before="189" w:line="221" w:lineRule="auto"/>
        <w:rPr>
          <w:rFonts w:ascii="宋体" w:hAnsi="宋体" w:cs="宋体"/>
        </w:rPr>
      </w:pPr>
      <w:r>
        <w:rPr>
          <w:rFonts w:ascii="宋体" w:hAnsi="宋体" w:cs="宋体"/>
          <w:spacing w:val="-11"/>
        </w:rPr>
        <w:t xml:space="preserve">日期：年月日</w:t>
      </w:r>
      <w:r>
        <w:rPr>
          <w:rFonts w:ascii="宋体" w:hAnsi="宋体" w:cs="宋体"/>
        </w:rPr>
      </w:r>
      <w:r/>
    </w:p>
    <w:p>
      <w:pPr>
        <w:pStyle w:val="1182"/>
        <w:spacing w:line="243" w:lineRule="auto"/>
      </w:pPr>
      <w:r/>
      <w:r/>
    </w:p>
    <w:p>
      <w:pPr>
        <w:pStyle w:val="1182"/>
        <w:spacing w:line="244" w:lineRule="auto"/>
      </w:pPr>
      <w:r/>
      <w:r/>
    </w:p>
    <w:p>
      <w:pPr>
        <w:pStyle w:val="1182"/>
        <w:spacing w:line="244" w:lineRule="auto"/>
      </w:pPr>
      <w:r/>
      <w:r/>
    </w:p>
    <w:p>
      <w:pPr>
        <w:pStyle w:val="1182"/>
        <w:spacing w:line="244" w:lineRule="auto"/>
      </w:pPr>
      <w:r/>
      <w:r/>
    </w:p>
    <w:p>
      <w:pPr>
        <w:pStyle w:val="1182"/>
        <w:spacing w:line="244" w:lineRule="auto"/>
      </w:pPr>
      <w:r/>
      <w:r/>
    </w:p>
    <w:p>
      <w:pPr>
        <w:pStyle w:val="1011"/>
        <w:ind w:left="353"/>
        <w:spacing w:before="69" w:line="226" w:lineRule="auto"/>
        <w:rPr>
          <w:rFonts w:ascii="宋体" w:hAnsi="宋体" w:cs="宋体"/>
        </w:rPr>
      </w:pPr>
      <w:r>
        <w:rPr>
          <w:rFonts w:ascii="宋体" w:hAnsi="宋体" w:cs="宋体"/>
          <w:b/>
          <w:bCs/>
          <w:spacing w:val="-16"/>
        </w:rPr>
        <w:t xml:space="preserve">注：</w:t>
      </w:r>
      <w:r>
        <w:rPr>
          <w:rFonts w:ascii="宋体" w:hAnsi="宋体" w:cs="宋体"/>
        </w:rPr>
      </w:r>
      <w:r/>
    </w:p>
    <w:p>
      <w:pPr>
        <w:pStyle w:val="1011"/>
        <w:jc w:val="right"/>
        <w:spacing w:before="152" w:line="221" w:lineRule="auto"/>
        <w:rPr>
          <w:rFonts w:ascii="宋体" w:hAnsi="宋体" w:cs="宋体"/>
        </w:rPr>
      </w:pPr>
      <w:r>
        <w:rPr>
          <w:rFonts w:ascii="宋体" w:hAnsi="宋体" w:cs="宋体"/>
          <w:b/>
          <w:bCs/>
          <w:spacing w:val="-2"/>
        </w:rPr>
        <w:t xml:space="preserve">1、服务条款内容主要是针对招标文件有关的服务部分（包括但不限于服务内容、服务要求等内容）。</w:t>
      </w:r>
      <w:r>
        <w:rPr>
          <w:rFonts w:ascii="宋体" w:hAnsi="宋体" w:cs="宋体"/>
        </w:rPr>
      </w:r>
      <w:r/>
    </w:p>
    <w:p>
      <w:pPr>
        <w:pStyle w:val="1011"/>
        <w:ind w:left="62" w:right="86" w:firstLine="293"/>
        <w:spacing w:before="156" w:line="290" w:lineRule="auto"/>
        <w:rPr>
          <w:rFonts w:ascii="宋体" w:hAnsi="宋体" w:cs="宋体"/>
        </w:rPr>
      </w:pPr>
      <w:r>
        <w:rPr>
          <w:rFonts w:ascii="宋体" w:hAnsi="宋体" w:cs="宋体"/>
          <w:b/>
          <w:bCs/>
          <w:spacing w:val="-3"/>
        </w:rPr>
        <w:t xml:space="preserve">2、投标人应在本表中对照招标文件服务条款相关内容对应列出响应情况，在</w:t>
      </w:r>
      <w:r>
        <w:rPr>
          <w:rFonts w:ascii="宋体" w:hAnsi="宋体" w:cs="宋体"/>
          <w:b/>
          <w:bCs/>
          <w:spacing w:val="-4"/>
        </w:rPr>
        <w:t xml:space="preserve">“响应情况”栏填写以下</w:t>
      </w:r>
      <w:r>
        <w:rPr>
          <w:rFonts w:ascii="宋体" w:hAnsi="宋体" w:cs="宋体"/>
          <w:b/>
          <w:bCs/>
          <w:spacing w:val="-3"/>
        </w:rPr>
        <w:t xml:space="preserve">内容：优于的，填写“正偏离”；符合的，填写“无偏离”；低于的，填写“负偏离”。</w:t>
      </w:r>
      <w:r>
        <w:rPr>
          <w:rFonts w:ascii="宋体" w:hAnsi="宋体" w:cs="宋体"/>
        </w:rPr>
      </w:r>
      <w:r/>
    </w:p>
    <w:p>
      <w:pPr>
        <w:pStyle w:val="1011"/>
        <w:ind w:left="37" w:right="81" w:firstLine="321"/>
        <w:spacing w:before="158" w:line="290" w:lineRule="auto"/>
        <w:rPr>
          <w:rFonts w:ascii="宋体" w:hAnsi="宋体" w:cs="宋体"/>
        </w:rPr>
      </w:pPr>
      <w:r>
        <w:rPr>
          <w:rFonts w:ascii="宋体" w:hAnsi="宋体" w:cs="宋体"/>
          <w:b/>
          <w:bCs/>
          <w:spacing w:val="-3"/>
        </w:rPr>
        <w:t xml:space="preserve">3、投标人提交的投标文件中与招标文件的服务条款相关要求有不同时，应在本表中</w:t>
      </w:r>
      <w:r>
        <w:rPr>
          <w:rFonts w:ascii="宋体" w:hAnsi="宋体" w:cs="宋体"/>
          <w:b/>
          <w:bCs/>
          <w:spacing w:val="-4"/>
        </w:rPr>
        <w:t xml:space="preserve">“说明”栏逐项对</w:t>
      </w:r>
      <w:r>
        <w:rPr>
          <w:rFonts w:ascii="宋体" w:hAnsi="宋体" w:cs="宋体"/>
          <w:b/>
          <w:bCs/>
          <w:spacing w:val="-6"/>
        </w:rPr>
        <w:t xml:space="preserve">应列出情况说明。</w:t>
      </w:r>
      <w:r>
        <w:rPr>
          <w:rFonts w:ascii="宋体" w:hAnsi="宋体" w:cs="宋体"/>
        </w:rPr>
      </w:r>
      <w:r/>
    </w:p>
    <w:p>
      <w:pPr>
        <w:pStyle w:val="1011"/>
        <w:ind w:left="352"/>
        <w:spacing w:before="157" w:line="221" w:lineRule="auto"/>
        <w:rPr>
          <w:rFonts w:ascii="宋体" w:hAnsi="宋体" w:cs="宋体"/>
        </w:rPr>
      </w:pPr>
      <w:r>
        <w:rPr>
          <w:rFonts w:ascii="宋体" w:hAnsi="宋体" w:cs="宋体"/>
          <w:b/>
          <w:bCs/>
          <w:spacing w:val="-4"/>
        </w:rPr>
        <w:t xml:space="preserve">4、以上表格内容不够的请自行添加。</w:t>
      </w:r>
      <w:bookmarkEnd w:id="83"/>
      <w:r>
        <w:rPr>
          <w:rFonts w:ascii="宋体" w:hAnsi="宋体" w:cs="宋体"/>
        </w:rPr>
      </w:r>
      <w:r/>
    </w:p>
    <w:p>
      <w:pPr>
        <w:pStyle w:val="1011"/>
        <w:spacing w:line="221" w:lineRule="auto"/>
        <w:rPr>
          <w:rFonts w:ascii="宋体" w:hAnsi="宋体" w:cs="宋体"/>
        </w:rPr>
        <w:sectPr>
          <w:headerReference w:type="default" r:id="rId16"/>
          <w:footnotePr/>
          <w:endnotePr/>
          <w:type w:val="nextPage"/>
          <w:pgSz w:w="11907" w:h="16839" w:orient="portrait"/>
          <w:pgMar w:top="921" w:right="1059" w:bottom="676" w:left="1104" w:header="601" w:footer="511" w:gutter="0"/>
          <w:cols w:num="1" w:sep="0" w:space="720" w:equalWidth="1"/>
          <w:docGrid w:linePitch="360"/>
        </w:sectPr>
      </w:pPr>
      <w:r>
        <w:rPr>
          <w:rFonts w:ascii="宋体" w:hAnsi="宋体" w:cs="宋体"/>
        </w:rPr>
      </w:r>
      <w:r/>
    </w:p>
    <w:p>
      <w:pPr>
        <w:pStyle w:val="1011"/>
        <w:ind w:left="37"/>
        <w:spacing w:before="157" w:line="221" w:lineRule="auto"/>
        <w:rPr>
          <w:rFonts w:ascii="宋体" w:hAnsi="宋体" w:cs="宋体"/>
        </w:rPr>
      </w:pPr>
      <w:r/>
      <w:bookmarkStart w:id="84" w:name="OLE_LINK79"/>
      <w:r>
        <w:rPr>
          <w:rFonts w:ascii="宋体" w:hAnsi="宋体" w:cs="宋体"/>
          <w:b/>
          <w:bCs/>
          <w:spacing w:val="-5"/>
        </w:rPr>
        <w:t xml:space="preserve">格式1</w:t>
      </w:r>
      <w:r>
        <w:rPr>
          <w:rFonts w:hint="eastAsia" w:ascii="宋体" w:hAnsi="宋体" w:cs="宋体"/>
          <w:b/>
          <w:bCs/>
          <w:spacing w:val="-5"/>
        </w:rPr>
        <w:t xml:space="preserve">2</w:t>
      </w:r>
      <w:r>
        <w:rPr>
          <w:rFonts w:ascii="宋体" w:hAnsi="宋体" w:cs="宋体"/>
          <w:b/>
          <w:bCs/>
          <w:spacing w:val="-5"/>
        </w:rPr>
        <w:t xml:space="preserve">、商务条款偏离表</w:t>
      </w:r>
      <w:r>
        <w:rPr>
          <w:rFonts w:ascii="宋体" w:hAnsi="宋体" w:cs="宋体"/>
        </w:rPr>
      </w:r>
      <w:r/>
    </w:p>
    <w:p>
      <w:pPr>
        <w:pStyle w:val="1011"/>
        <w:ind w:left="4121"/>
        <w:spacing w:before="46" w:line="221" w:lineRule="auto"/>
        <w:rPr>
          <w:rFonts w:ascii="宋体" w:hAnsi="宋体" w:cs="宋体"/>
        </w:rPr>
      </w:pPr>
      <w:r>
        <w:rPr>
          <w:rFonts w:ascii="宋体" w:hAnsi="宋体" w:cs="宋体"/>
          <w:b/>
          <w:bCs/>
          <w:spacing w:val="-3"/>
        </w:rPr>
        <w:t xml:space="preserve">商务条款偏离表</w:t>
      </w:r>
      <w:r>
        <w:rPr>
          <w:rFonts w:ascii="宋体" w:hAnsi="宋体" w:cs="宋体"/>
        </w:rPr>
      </w:r>
      <w:r/>
    </w:p>
    <w:p>
      <w:pPr>
        <w:pStyle w:val="1011"/>
        <w:ind w:left="460"/>
        <w:spacing w:before="255" w:line="221" w:lineRule="auto"/>
        <w:rPr>
          <w:rFonts w:ascii="宋体" w:hAnsi="宋体" w:cs="宋体"/>
        </w:rPr>
      </w:pPr>
      <w:r>
        <w:rPr>
          <w:rFonts w:ascii="宋体" w:hAnsi="宋体" w:cs="宋体"/>
          <w:spacing w:val="-7"/>
        </w:rPr>
        <w:t xml:space="preserve">项目编号：</w:t>
      </w:r>
      <w:r>
        <w:rPr>
          <w:rFonts w:ascii="宋体" w:hAnsi="宋体" w:cs="宋体"/>
        </w:rPr>
      </w:r>
      <w:r/>
    </w:p>
    <w:p>
      <w:pPr>
        <w:pStyle w:val="1011"/>
        <w:ind w:left="460"/>
        <w:spacing w:before="216" w:line="222" w:lineRule="auto"/>
        <w:rPr>
          <w:rFonts w:ascii="宋体" w:hAnsi="宋体" w:cs="宋体"/>
        </w:rPr>
      </w:pPr>
      <w:r>
        <w:rPr>
          <w:rFonts w:ascii="宋体" w:hAnsi="宋体" w:cs="宋体"/>
          <w:spacing w:val="-7"/>
        </w:rPr>
        <w:t xml:space="preserve">项目名称：</w:t>
      </w:r>
      <w:r>
        <w:rPr>
          <w:rFonts w:ascii="宋体" w:hAnsi="宋体" w:cs="宋体"/>
        </w:rPr>
      </w:r>
      <w:r/>
    </w:p>
    <w:p>
      <w:pPr>
        <w:pStyle w:val="1011"/>
        <w:spacing w:line="87" w:lineRule="exact"/>
      </w:pPr>
      <w:r/>
      <w:r/>
    </w:p>
    <w:tbl>
      <w:tblPr>
        <w:tblW w:w="8829" w:type="dxa"/>
        <w:tblInd w:w="43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2"/>
        <w:gridCol w:w="1919"/>
        <w:gridCol w:w="2398"/>
        <w:gridCol w:w="2399"/>
        <w:gridCol w:w="1401"/>
      </w:tblGrid>
      <w:tr>
        <w:trPr>
          <w:trHeight w:val="323"/>
        </w:trPr>
        <w:tc>
          <w:tcPr>
            <w:tcW w:w="712" w:type="dxa"/>
            <w:vAlign w:val="top"/>
            <w:textDirection w:val="lrTb"/>
            <w:noWrap w:val="false"/>
          </w:tcPr>
          <w:p>
            <w:pPr>
              <w:pStyle w:val="1198"/>
              <w:ind w:left="151"/>
              <w:spacing w:before="58" w:line="223" w:lineRule="auto"/>
              <w:rPr>
                <w:lang w:eastAsia="en-US"/>
              </w:rPr>
            </w:pPr>
            <w:r>
              <w:rPr>
                <w:spacing w:val="-2"/>
                <w:lang w:eastAsia="en-US"/>
              </w:rPr>
              <w:t xml:space="preserve">序号</w:t>
            </w:r>
            <w:r>
              <w:rPr>
                <w:lang w:eastAsia="en-US"/>
              </w:rPr>
            </w:r>
            <w:r/>
          </w:p>
        </w:tc>
        <w:tc>
          <w:tcPr>
            <w:tcW w:w="1919" w:type="dxa"/>
            <w:vAlign w:val="top"/>
            <w:textDirection w:val="lrTb"/>
            <w:noWrap w:val="false"/>
          </w:tcPr>
          <w:p>
            <w:pPr>
              <w:pStyle w:val="1198"/>
              <w:ind w:left="545"/>
              <w:spacing w:before="58" w:line="221" w:lineRule="auto"/>
              <w:rPr>
                <w:lang w:eastAsia="en-US"/>
              </w:rPr>
            </w:pPr>
            <w:r>
              <w:rPr>
                <w:spacing w:val="-2"/>
                <w:lang w:eastAsia="en-US"/>
              </w:rPr>
              <w:t xml:space="preserve">条款名称</w:t>
            </w:r>
            <w:r>
              <w:rPr>
                <w:lang w:eastAsia="en-US"/>
              </w:rPr>
            </w:r>
            <w:r/>
          </w:p>
        </w:tc>
        <w:tc>
          <w:tcPr>
            <w:tcW w:w="2398" w:type="dxa"/>
            <w:vAlign w:val="top"/>
            <w:textDirection w:val="lrTb"/>
            <w:noWrap w:val="false"/>
          </w:tcPr>
          <w:p>
            <w:pPr>
              <w:pStyle w:val="1198"/>
              <w:ind w:left="784"/>
              <w:spacing w:before="57" w:line="221" w:lineRule="auto"/>
              <w:rPr>
                <w:lang w:eastAsia="en-US"/>
              </w:rPr>
            </w:pPr>
            <w:r>
              <w:rPr>
                <w:spacing w:val="-1"/>
                <w:lang w:eastAsia="en-US"/>
              </w:rPr>
              <w:t xml:space="preserve">采购要求</w:t>
            </w:r>
            <w:r>
              <w:rPr>
                <w:lang w:eastAsia="en-US"/>
              </w:rPr>
            </w:r>
            <w:r/>
          </w:p>
        </w:tc>
        <w:tc>
          <w:tcPr>
            <w:tcW w:w="2399" w:type="dxa"/>
            <w:vAlign w:val="top"/>
            <w:textDirection w:val="lrTb"/>
            <w:noWrap w:val="false"/>
          </w:tcPr>
          <w:p>
            <w:pPr>
              <w:pStyle w:val="1198"/>
              <w:ind w:left="797"/>
              <w:spacing w:before="58" w:line="222" w:lineRule="auto"/>
              <w:rPr>
                <w:lang w:eastAsia="en-US"/>
              </w:rPr>
            </w:pPr>
            <w:r>
              <w:rPr>
                <w:spacing w:val="-4"/>
                <w:lang w:eastAsia="en-US"/>
              </w:rPr>
              <w:t xml:space="preserve">响应情况</w:t>
            </w:r>
            <w:r>
              <w:rPr>
                <w:lang w:eastAsia="en-US"/>
              </w:rPr>
            </w:r>
            <w:r/>
          </w:p>
        </w:tc>
        <w:tc>
          <w:tcPr>
            <w:tcW w:w="1401" w:type="dxa"/>
            <w:vAlign w:val="top"/>
            <w:textDirection w:val="lrTb"/>
            <w:noWrap w:val="false"/>
          </w:tcPr>
          <w:p>
            <w:pPr>
              <w:pStyle w:val="1198"/>
              <w:ind w:left="497"/>
              <w:spacing w:before="58" w:line="221" w:lineRule="auto"/>
              <w:rPr>
                <w:lang w:eastAsia="en-US"/>
              </w:rPr>
            </w:pPr>
            <w:r>
              <w:rPr>
                <w:spacing w:val="-3"/>
                <w:lang w:eastAsia="en-US"/>
              </w:rPr>
              <w:t xml:space="preserve">说明</w:t>
            </w:r>
            <w:r>
              <w:rPr>
                <w:lang w:eastAsia="en-US"/>
              </w:rPr>
            </w:r>
            <w:r/>
          </w:p>
        </w:tc>
      </w:tr>
      <w:tr>
        <w:trPr>
          <w:trHeight w:val="412"/>
        </w:trPr>
        <w:tc>
          <w:tcPr>
            <w:tcW w:w="712" w:type="dxa"/>
            <w:vAlign w:val="top"/>
            <w:textDirection w:val="lrTb"/>
            <w:noWrap w:val="false"/>
          </w:tcPr>
          <w:p>
            <w:pPr>
              <w:pStyle w:val="1198"/>
              <w:ind w:left="323"/>
              <w:spacing w:before="99" w:line="277" w:lineRule="exact"/>
              <w:rPr>
                <w:lang w:eastAsia="en-US"/>
              </w:rPr>
            </w:pPr>
            <w:r>
              <w:rPr>
                <w:position w:val="1"/>
                <w:lang w:eastAsia="en-US"/>
              </w:rPr>
              <w:t xml:space="preserve">1</w:t>
            </w:r>
            <w:r>
              <w:rPr>
                <w:lang w:eastAsia="en-US"/>
              </w:rPr>
            </w:r>
            <w:r/>
          </w:p>
        </w:tc>
        <w:tc>
          <w:tcPr>
            <w:tcW w:w="1919" w:type="dxa"/>
            <w:vAlign w:val="top"/>
            <w:textDirection w:val="lrTb"/>
            <w:noWrap w:val="false"/>
          </w:tcPr>
          <w:p>
            <w:pPr>
              <w:pStyle w:val="1011"/>
              <w:rPr>
                <w:rFonts w:eastAsia="Arial"/>
                <w:lang w:eastAsia="en-US"/>
              </w:rPr>
            </w:pPr>
            <w:r>
              <w:rPr>
                <w:rFonts w:eastAsia="Arial"/>
                <w:lang w:eastAsia="en-US"/>
              </w:rPr>
            </w:r>
            <w:r/>
          </w:p>
        </w:tc>
        <w:tc>
          <w:tcPr>
            <w:tcW w:w="2398" w:type="dxa"/>
            <w:vAlign w:val="top"/>
            <w:textDirection w:val="lrTb"/>
            <w:noWrap w:val="false"/>
          </w:tcPr>
          <w:p>
            <w:pPr>
              <w:pStyle w:val="1011"/>
              <w:rPr>
                <w:rFonts w:eastAsia="Arial"/>
                <w:lang w:eastAsia="en-US"/>
              </w:rPr>
            </w:pPr>
            <w:r>
              <w:rPr>
                <w:rFonts w:eastAsia="Arial"/>
                <w:lang w:eastAsia="en-US"/>
              </w:rPr>
            </w:r>
            <w:r/>
          </w:p>
        </w:tc>
        <w:tc>
          <w:tcPr>
            <w:tcW w:w="2399" w:type="dxa"/>
            <w:vAlign w:val="top"/>
            <w:textDirection w:val="lrTb"/>
            <w:noWrap w:val="false"/>
          </w:tcPr>
          <w:p>
            <w:pPr>
              <w:pStyle w:val="1011"/>
              <w:rPr>
                <w:rFonts w:eastAsia="Arial"/>
                <w:lang w:eastAsia="en-US"/>
              </w:rPr>
            </w:pPr>
            <w:r>
              <w:rPr>
                <w:rFonts w:eastAsia="Arial"/>
                <w:lang w:eastAsia="en-US"/>
              </w:rPr>
            </w:r>
            <w:r/>
          </w:p>
        </w:tc>
        <w:tc>
          <w:tcPr>
            <w:tcW w:w="1401" w:type="dxa"/>
            <w:vAlign w:val="top"/>
            <w:textDirection w:val="lrTb"/>
            <w:noWrap w:val="false"/>
          </w:tcPr>
          <w:p>
            <w:pPr>
              <w:pStyle w:val="1011"/>
              <w:rPr>
                <w:rFonts w:eastAsia="Arial"/>
                <w:lang w:eastAsia="en-US"/>
              </w:rPr>
            </w:pPr>
            <w:r>
              <w:rPr>
                <w:rFonts w:eastAsia="Arial"/>
                <w:lang w:eastAsia="en-US"/>
              </w:rPr>
            </w:r>
            <w:r/>
          </w:p>
        </w:tc>
      </w:tr>
      <w:tr>
        <w:trPr>
          <w:trHeight w:val="411"/>
        </w:trPr>
        <w:tc>
          <w:tcPr>
            <w:tcW w:w="712" w:type="dxa"/>
            <w:vAlign w:val="top"/>
            <w:textDirection w:val="lrTb"/>
            <w:noWrap w:val="false"/>
          </w:tcPr>
          <w:p>
            <w:pPr>
              <w:pStyle w:val="1198"/>
              <w:ind w:left="310"/>
              <w:spacing w:before="100" w:line="276" w:lineRule="exact"/>
              <w:rPr>
                <w:lang w:eastAsia="en-US"/>
              </w:rPr>
            </w:pPr>
            <w:r>
              <w:rPr>
                <w:position w:val="1"/>
                <w:lang w:eastAsia="en-US"/>
              </w:rPr>
              <w:t xml:space="preserve">2</w:t>
            </w:r>
            <w:r>
              <w:rPr>
                <w:lang w:eastAsia="en-US"/>
              </w:rPr>
            </w:r>
            <w:r/>
          </w:p>
        </w:tc>
        <w:tc>
          <w:tcPr>
            <w:tcW w:w="1919" w:type="dxa"/>
            <w:vAlign w:val="top"/>
            <w:textDirection w:val="lrTb"/>
            <w:noWrap w:val="false"/>
          </w:tcPr>
          <w:p>
            <w:pPr>
              <w:pStyle w:val="1011"/>
              <w:rPr>
                <w:rFonts w:eastAsia="Arial"/>
                <w:lang w:eastAsia="en-US"/>
              </w:rPr>
            </w:pPr>
            <w:r>
              <w:rPr>
                <w:rFonts w:eastAsia="Arial"/>
                <w:lang w:eastAsia="en-US"/>
              </w:rPr>
            </w:r>
            <w:r/>
          </w:p>
        </w:tc>
        <w:tc>
          <w:tcPr>
            <w:tcW w:w="2398" w:type="dxa"/>
            <w:vAlign w:val="top"/>
            <w:textDirection w:val="lrTb"/>
            <w:noWrap w:val="false"/>
          </w:tcPr>
          <w:p>
            <w:pPr>
              <w:pStyle w:val="1011"/>
              <w:rPr>
                <w:rFonts w:eastAsia="Arial"/>
                <w:lang w:eastAsia="en-US"/>
              </w:rPr>
            </w:pPr>
            <w:r>
              <w:rPr>
                <w:rFonts w:eastAsia="Arial"/>
                <w:lang w:eastAsia="en-US"/>
              </w:rPr>
            </w:r>
            <w:r/>
          </w:p>
        </w:tc>
        <w:tc>
          <w:tcPr>
            <w:tcW w:w="2399" w:type="dxa"/>
            <w:vAlign w:val="top"/>
            <w:textDirection w:val="lrTb"/>
            <w:noWrap w:val="false"/>
          </w:tcPr>
          <w:p>
            <w:pPr>
              <w:pStyle w:val="1011"/>
              <w:rPr>
                <w:rFonts w:eastAsia="Arial"/>
                <w:lang w:eastAsia="en-US"/>
              </w:rPr>
            </w:pPr>
            <w:r>
              <w:rPr>
                <w:rFonts w:eastAsia="Arial"/>
                <w:lang w:eastAsia="en-US"/>
              </w:rPr>
            </w:r>
            <w:r/>
          </w:p>
        </w:tc>
        <w:tc>
          <w:tcPr>
            <w:tcW w:w="1401" w:type="dxa"/>
            <w:vAlign w:val="top"/>
            <w:textDirection w:val="lrTb"/>
            <w:noWrap w:val="false"/>
          </w:tcPr>
          <w:p>
            <w:pPr>
              <w:pStyle w:val="1011"/>
              <w:rPr>
                <w:rFonts w:eastAsia="Arial"/>
                <w:lang w:eastAsia="en-US"/>
              </w:rPr>
            </w:pPr>
            <w:r>
              <w:rPr>
                <w:rFonts w:eastAsia="Arial"/>
                <w:lang w:eastAsia="en-US"/>
              </w:rPr>
            </w:r>
            <w:r/>
          </w:p>
        </w:tc>
      </w:tr>
      <w:tr>
        <w:trPr>
          <w:trHeight w:val="414"/>
        </w:trPr>
        <w:tc>
          <w:tcPr>
            <w:tcW w:w="712" w:type="dxa"/>
            <w:vAlign w:val="top"/>
            <w:textDirection w:val="lrTb"/>
            <w:noWrap w:val="false"/>
          </w:tcPr>
          <w:p>
            <w:pPr>
              <w:pStyle w:val="1198"/>
              <w:ind w:left="312"/>
              <w:spacing w:before="104" w:line="242" w:lineRule="auto"/>
              <w:rPr>
                <w:lang w:eastAsia="en-US"/>
              </w:rPr>
            </w:pPr>
            <w:r>
              <w:rPr>
                <w:lang w:eastAsia="en-US"/>
              </w:rPr>
              <w:t xml:space="preserve">3</w:t>
            </w:r>
            <w:r/>
          </w:p>
        </w:tc>
        <w:tc>
          <w:tcPr>
            <w:tcW w:w="1919" w:type="dxa"/>
            <w:vAlign w:val="top"/>
            <w:textDirection w:val="lrTb"/>
            <w:noWrap w:val="false"/>
          </w:tcPr>
          <w:p>
            <w:pPr>
              <w:pStyle w:val="1011"/>
              <w:rPr>
                <w:rFonts w:eastAsia="Arial"/>
                <w:lang w:eastAsia="en-US"/>
              </w:rPr>
            </w:pPr>
            <w:r>
              <w:rPr>
                <w:rFonts w:eastAsia="Arial"/>
                <w:lang w:eastAsia="en-US"/>
              </w:rPr>
            </w:r>
            <w:r/>
          </w:p>
        </w:tc>
        <w:tc>
          <w:tcPr>
            <w:tcW w:w="2398" w:type="dxa"/>
            <w:vAlign w:val="top"/>
            <w:textDirection w:val="lrTb"/>
            <w:noWrap w:val="false"/>
          </w:tcPr>
          <w:p>
            <w:pPr>
              <w:pStyle w:val="1011"/>
              <w:rPr>
                <w:rFonts w:eastAsia="Arial"/>
                <w:lang w:eastAsia="en-US"/>
              </w:rPr>
            </w:pPr>
            <w:r>
              <w:rPr>
                <w:rFonts w:eastAsia="Arial"/>
                <w:lang w:eastAsia="en-US"/>
              </w:rPr>
            </w:r>
            <w:r/>
          </w:p>
        </w:tc>
        <w:tc>
          <w:tcPr>
            <w:tcW w:w="2399" w:type="dxa"/>
            <w:vAlign w:val="top"/>
            <w:textDirection w:val="lrTb"/>
            <w:noWrap w:val="false"/>
          </w:tcPr>
          <w:p>
            <w:pPr>
              <w:pStyle w:val="1011"/>
              <w:rPr>
                <w:rFonts w:eastAsia="Arial"/>
                <w:lang w:eastAsia="en-US"/>
              </w:rPr>
            </w:pPr>
            <w:r>
              <w:rPr>
                <w:rFonts w:eastAsia="Arial"/>
                <w:lang w:eastAsia="en-US"/>
              </w:rPr>
            </w:r>
            <w:r/>
          </w:p>
        </w:tc>
        <w:tc>
          <w:tcPr>
            <w:tcW w:w="1401" w:type="dxa"/>
            <w:vAlign w:val="top"/>
            <w:textDirection w:val="lrTb"/>
            <w:noWrap w:val="false"/>
          </w:tcPr>
          <w:p>
            <w:pPr>
              <w:pStyle w:val="1011"/>
              <w:rPr>
                <w:rFonts w:eastAsia="Arial"/>
                <w:lang w:eastAsia="en-US"/>
              </w:rPr>
            </w:pPr>
            <w:r>
              <w:rPr>
                <w:rFonts w:eastAsia="Arial"/>
                <w:lang w:eastAsia="en-US"/>
              </w:rPr>
            </w:r>
            <w:r/>
          </w:p>
        </w:tc>
      </w:tr>
      <w:tr>
        <w:trPr>
          <w:trHeight w:val="416"/>
        </w:trPr>
        <w:tc>
          <w:tcPr>
            <w:tcW w:w="712" w:type="dxa"/>
            <w:vAlign w:val="top"/>
            <w:textDirection w:val="lrTb"/>
            <w:noWrap w:val="false"/>
          </w:tcPr>
          <w:p>
            <w:pPr>
              <w:pStyle w:val="1198"/>
              <w:ind w:left="268"/>
              <w:spacing w:before="103" w:line="302" w:lineRule="exact"/>
              <w:rPr>
                <w:lang w:eastAsia="en-US"/>
              </w:rPr>
            </w:pPr>
            <w:r>
              <w:rPr>
                <w:position w:val="1"/>
                <w:lang w:eastAsia="en-US"/>
              </w:rPr>
              <w:t xml:space="preserve">…</w:t>
            </w:r>
            <w:r>
              <w:rPr>
                <w:lang w:eastAsia="en-US"/>
              </w:rPr>
            </w:r>
            <w:r/>
          </w:p>
        </w:tc>
        <w:tc>
          <w:tcPr>
            <w:tcW w:w="1919" w:type="dxa"/>
            <w:vAlign w:val="top"/>
            <w:textDirection w:val="lrTb"/>
            <w:noWrap w:val="false"/>
          </w:tcPr>
          <w:p>
            <w:pPr>
              <w:pStyle w:val="1011"/>
              <w:rPr>
                <w:rFonts w:eastAsia="Arial"/>
                <w:lang w:eastAsia="en-US"/>
              </w:rPr>
            </w:pPr>
            <w:r>
              <w:rPr>
                <w:rFonts w:eastAsia="Arial"/>
                <w:lang w:eastAsia="en-US"/>
              </w:rPr>
            </w:r>
            <w:r/>
          </w:p>
        </w:tc>
        <w:tc>
          <w:tcPr>
            <w:tcW w:w="2398" w:type="dxa"/>
            <w:vAlign w:val="top"/>
            <w:textDirection w:val="lrTb"/>
            <w:noWrap w:val="false"/>
          </w:tcPr>
          <w:p>
            <w:pPr>
              <w:pStyle w:val="1011"/>
              <w:rPr>
                <w:rFonts w:eastAsia="Arial"/>
                <w:lang w:eastAsia="en-US"/>
              </w:rPr>
            </w:pPr>
            <w:r>
              <w:rPr>
                <w:rFonts w:eastAsia="Arial"/>
                <w:lang w:eastAsia="en-US"/>
              </w:rPr>
            </w:r>
            <w:r/>
          </w:p>
        </w:tc>
        <w:tc>
          <w:tcPr>
            <w:tcW w:w="2399" w:type="dxa"/>
            <w:vAlign w:val="top"/>
            <w:textDirection w:val="lrTb"/>
            <w:noWrap w:val="false"/>
          </w:tcPr>
          <w:p>
            <w:pPr>
              <w:pStyle w:val="1011"/>
              <w:rPr>
                <w:rFonts w:eastAsia="Arial"/>
                <w:lang w:eastAsia="en-US"/>
              </w:rPr>
            </w:pPr>
            <w:r>
              <w:rPr>
                <w:rFonts w:eastAsia="Arial"/>
                <w:lang w:eastAsia="en-US"/>
              </w:rPr>
            </w:r>
            <w:r/>
          </w:p>
        </w:tc>
        <w:tc>
          <w:tcPr>
            <w:tcW w:w="1401" w:type="dxa"/>
            <w:vAlign w:val="top"/>
            <w:textDirection w:val="lrTb"/>
            <w:noWrap w:val="false"/>
          </w:tcPr>
          <w:p>
            <w:pPr>
              <w:pStyle w:val="1011"/>
              <w:rPr>
                <w:rFonts w:eastAsia="Arial"/>
                <w:lang w:eastAsia="en-US"/>
              </w:rPr>
            </w:pPr>
            <w:r>
              <w:rPr>
                <w:rFonts w:eastAsia="Arial"/>
                <w:lang w:eastAsia="en-US"/>
              </w:rPr>
            </w:r>
            <w:r/>
          </w:p>
        </w:tc>
      </w:tr>
    </w:tbl>
    <w:p>
      <w:pPr>
        <w:pStyle w:val="1182"/>
        <w:spacing w:line="305" w:lineRule="auto"/>
      </w:pPr>
      <w:r/>
      <w:r/>
    </w:p>
    <w:p>
      <w:pPr>
        <w:pStyle w:val="1182"/>
        <w:spacing w:line="305" w:lineRule="auto"/>
      </w:pPr>
      <w:r/>
      <w:r/>
    </w:p>
    <w:p>
      <w:pPr>
        <w:pStyle w:val="1182"/>
        <w:spacing w:line="305" w:lineRule="auto"/>
      </w:pPr>
      <w:r/>
      <w:r/>
    </w:p>
    <w:p>
      <w:pPr>
        <w:pStyle w:val="1011"/>
        <w:ind w:left="459"/>
        <w:spacing w:before="68" w:line="221" w:lineRule="auto"/>
        <w:rPr>
          <w:rFonts w:ascii="宋体" w:hAnsi="宋体" w:cs="宋体"/>
        </w:rPr>
      </w:pPr>
      <w:r>
        <w:rPr>
          <w:rFonts w:ascii="宋体" w:hAnsi="宋体" w:cs="宋体"/>
          <w:spacing w:val="-4"/>
        </w:rPr>
        <w:t xml:space="preserve">投标人（公章</w:t>
      </w:r>
      <w:r>
        <w:rPr>
          <w:rFonts w:ascii="宋体" w:hAnsi="宋体" w:cs="宋体"/>
          <w:spacing w:val="1"/>
        </w:rPr>
        <w:t xml:space="preserve">）：</w:t>
      </w:r>
      <w:r>
        <w:rPr>
          <w:rFonts w:ascii="宋体" w:hAnsi="宋体" w:cs="宋体"/>
        </w:rPr>
      </w:r>
      <w:r/>
    </w:p>
    <w:p>
      <w:pPr>
        <w:pStyle w:val="1011"/>
        <w:ind w:left="457"/>
        <w:spacing w:before="187" w:line="221" w:lineRule="auto"/>
        <w:rPr>
          <w:rFonts w:ascii="宋体" w:hAnsi="宋体" w:cs="宋体"/>
        </w:rPr>
      </w:pPr>
      <w:r>
        <w:rPr>
          <w:rFonts w:ascii="宋体" w:hAnsi="宋体" w:cs="宋体"/>
          <w:spacing w:val="-1"/>
        </w:rPr>
        <w:t xml:space="preserve">法定代表人或代理人（签字或盖章</w:t>
      </w:r>
      <w:r>
        <w:rPr>
          <w:rFonts w:ascii="宋体" w:hAnsi="宋体" w:cs="宋体"/>
          <w:spacing w:val="4"/>
        </w:rPr>
        <w:t xml:space="preserve">）：</w:t>
      </w:r>
      <w:r>
        <w:rPr>
          <w:rFonts w:ascii="宋体" w:hAnsi="宋体" w:cs="宋体"/>
        </w:rPr>
      </w:r>
      <w:r/>
    </w:p>
    <w:p>
      <w:pPr>
        <w:pStyle w:val="1011"/>
        <w:ind w:left="493"/>
        <w:spacing w:before="189" w:line="221" w:lineRule="auto"/>
        <w:rPr>
          <w:rFonts w:ascii="宋体" w:hAnsi="宋体" w:cs="宋体"/>
        </w:rPr>
      </w:pPr>
      <w:r>
        <w:rPr>
          <w:rFonts w:ascii="宋体" w:hAnsi="宋体" w:cs="宋体"/>
          <w:spacing w:val="-11"/>
        </w:rPr>
        <w:t xml:space="preserve">日期：年月日</w:t>
      </w:r>
      <w:r>
        <w:rPr>
          <w:rFonts w:ascii="宋体" w:hAnsi="宋体" w:cs="宋体"/>
        </w:rPr>
      </w:r>
      <w:r/>
    </w:p>
    <w:p>
      <w:pPr>
        <w:pStyle w:val="1182"/>
        <w:spacing w:line="243" w:lineRule="auto"/>
      </w:pPr>
      <w:r/>
      <w:r/>
    </w:p>
    <w:p>
      <w:pPr>
        <w:pStyle w:val="1182"/>
        <w:spacing w:line="244" w:lineRule="auto"/>
      </w:pPr>
      <w:r/>
      <w:r/>
    </w:p>
    <w:p>
      <w:pPr>
        <w:pStyle w:val="1182"/>
        <w:spacing w:line="244" w:lineRule="auto"/>
      </w:pPr>
      <w:r/>
      <w:r/>
    </w:p>
    <w:p>
      <w:pPr>
        <w:pStyle w:val="1182"/>
        <w:spacing w:line="244" w:lineRule="auto"/>
      </w:pPr>
      <w:r/>
      <w:r/>
    </w:p>
    <w:p>
      <w:pPr>
        <w:pStyle w:val="1182"/>
        <w:spacing w:line="244" w:lineRule="auto"/>
      </w:pPr>
      <w:r/>
      <w:r/>
    </w:p>
    <w:p>
      <w:pPr>
        <w:pStyle w:val="1011"/>
        <w:ind w:left="353"/>
        <w:spacing w:before="69" w:line="226" w:lineRule="auto"/>
        <w:rPr>
          <w:rFonts w:ascii="宋体" w:hAnsi="宋体" w:cs="宋体"/>
        </w:rPr>
      </w:pPr>
      <w:r>
        <w:rPr>
          <w:rFonts w:ascii="宋体" w:hAnsi="宋体" w:cs="宋体"/>
          <w:b/>
          <w:bCs/>
          <w:spacing w:val="-16"/>
        </w:rPr>
        <w:t xml:space="preserve">注：</w:t>
      </w:r>
      <w:r>
        <w:rPr>
          <w:rFonts w:ascii="宋体" w:hAnsi="宋体" w:cs="宋体"/>
        </w:rPr>
      </w:r>
      <w:r/>
    </w:p>
    <w:p>
      <w:pPr>
        <w:pStyle w:val="1011"/>
        <w:ind w:left="57" w:right="35" w:firstLine="311"/>
        <w:spacing w:before="151" w:line="290" w:lineRule="auto"/>
        <w:rPr>
          <w:rFonts w:ascii="宋体" w:hAnsi="宋体" w:cs="宋体"/>
        </w:rPr>
      </w:pPr>
      <w:r>
        <w:rPr>
          <w:rFonts w:ascii="宋体" w:hAnsi="宋体" w:cs="宋体"/>
          <w:b/>
          <w:bCs/>
          <w:spacing w:val="-3"/>
        </w:rPr>
        <w:t xml:space="preserve">1、商务条款内容主要是针对招标文件有关的商务部分（</w:t>
      </w:r>
      <w:r>
        <w:rPr>
          <w:rFonts w:ascii="宋体" w:hAnsi="宋体" w:cs="宋体"/>
          <w:b/>
          <w:bCs/>
          <w:spacing w:val="-4"/>
        </w:rPr>
        <w:t xml:space="preserve">包括但不限于合同履行期限、价格与支付等合</w:t>
      </w:r>
      <w:r>
        <w:rPr>
          <w:rFonts w:ascii="宋体" w:hAnsi="宋体" w:cs="宋体"/>
          <w:b/>
          <w:bCs/>
          <w:spacing w:val="-8"/>
        </w:rPr>
        <w:t xml:space="preserve">同条款等内容）。</w:t>
      </w:r>
      <w:r>
        <w:rPr>
          <w:rFonts w:ascii="宋体" w:hAnsi="宋体" w:cs="宋体"/>
        </w:rPr>
      </w:r>
      <w:r/>
    </w:p>
    <w:p>
      <w:pPr>
        <w:pStyle w:val="1011"/>
        <w:ind w:left="62" w:right="40" w:firstLine="293"/>
        <w:spacing w:before="157" w:line="291" w:lineRule="auto"/>
        <w:rPr>
          <w:rFonts w:ascii="宋体" w:hAnsi="宋体" w:cs="宋体"/>
        </w:rPr>
      </w:pPr>
      <w:r>
        <w:rPr>
          <w:rFonts w:ascii="宋体" w:hAnsi="宋体" w:cs="宋体"/>
          <w:b/>
          <w:bCs/>
          <w:spacing w:val="-3"/>
        </w:rPr>
        <w:t xml:space="preserve">2、投标人应在本表中对照招标文件商务条款相关内容对应列出响应情况，在</w:t>
      </w:r>
      <w:r>
        <w:rPr>
          <w:rFonts w:ascii="宋体" w:hAnsi="宋体" w:cs="宋体"/>
          <w:b/>
          <w:bCs/>
          <w:spacing w:val="-4"/>
        </w:rPr>
        <w:t xml:space="preserve">“响应情况”栏填写以下</w:t>
      </w:r>
      <w:r>
        <w:rPr>
          <w:rFonts w:ascii="宋体" w:hAnsi="宋体" w:cs="宋体"/>
          <w:b/>
          <w:bCs/>
          <w:spacing w:val="-3"/>
        </w:rPr>
        <w:t xml:space="preserve">内容：优于的，填写“正偏离”；符合的，填写“无偏离”；低于的，填写“负偏离”。</w:t>
      </w:r>
      <w:r>
        <w:rPr>
          <w:rFonts w:ascii="宋体" w:hAnsi="宋体" w:cs="宋体"/>
        </w:rPr>
      </w:r>
      <w:r/>
    </w:p>
    <w:p>
      <w:pPr>
        <w:pStyle w:val="1011"/>
        <w:ind w:left="37" w:right="35" w:firstLine="321"/>
        <w:spacing w:before="156" w:line="290" w:lineRule="auto"/>
        <w:rPr>
          <w:rFonts w:ascii="宋体" w:hAnsi="宋体" w:cs="宋体"/>
        </w:rPr>
      </w:pPr>
      <w:r>
        <w:rPr>
          <w:rFonts w:ascii="宋体" w:hAnsi="宋体" w:cs="宋体"/>
          <w:b/>
          <w:bCs/>
          <w:spacing w:val="-3"/>
        </w:rPr>
        <w:t xml:space="preserve">3、投标人提交的投标文件中与招标文件的商务条款相关要求有不同时，应在本表中</w:t>
      </w:r>
      <w:r>
        <w:rPr>
          <w:rFonts w:ascii="宋体" w:hAnsi="宋体" w:cs="宋体"/>
          <w:b/>
          <w:bCs/>
          <w:spacing w:val="-4"/>
        </w:rPr>
        <w:t xml:space="preserve">“说明”栏逐项对</w:t>
      </w:r>
      <w:r>
        <w:rPr>
          <w:rFonts w:ascii="宋体" w:hAnsi="宋体" w:cs="宋体"/>
          <w:b/>
          <w:bCs/>
          <w:spacing w:val="-6"/>
        </w:rPr>
        <w:t xml:space="preserve">应列出情况说明。</w:t>
      </w:r>
      <w:r>
        <w:rPr>
          <w:rFonts w:ascii="宋体" w:hAnsi="宋体" w:cs="宋体"/>
        </w:rPr>
      </w:r>
      <w:r/>
    </w:p>
    <w:p>
      <w:pPr>
        <w:pStyle w:val="1011"/>
        <w:ind w:left="352"/>
        <w:spacing w:before="157" w:line="221" w:lineRule="auto"/>
        <w:rPr>
          <w:rFonts w:ascii="宋体" w:hAnsi="宋体" w:cs="宋体"/>
        </w:rPr>
      </w:pPr>
      <w:r>
        <w:rPr>
          <w:rFonts w:ascii="宋体" w:hAnsi="宋体" w:cs="宋体"/>
          <w:b/>
          <w:bCs/>
          <w:spacing w:val="-4"/>
        </w:rPr>
        <w:t xml:space="preserve">4、以上表格内容不够的请自行添加。</w:t>
      </w:r>
      <w:bookmarkEnd w:id="84"/>
      <w:r>
        <w:rPr>
          <w:rFonts w:ascii="宋体" w:hAnsi="宋体" w:cs="宋体"/>
        </w:rPr>
      </w:r>
      <w:r/>
    </w:p>
    <w:p>
      <w:pPr>
        <w:pStyle w:val="1011"/>
        <w:spacing w:line="221" w:lineRule="auto"/>
        <w:rPr>
          <w:rFonts w:ascii="宋体" w:hAnsi="宋体" w:cs="宋体"/>
        </w:rPr>
        <w:sectPr>
          <w:headerReference w:type="default" r:id="rId17"/>
          <w:footerReference w:type="default" r:id="rId28"/>
          <w:footnotePr/>
          <w:endnotePr/>
          <w:type w:val="nextPage"/>
          <w:pgSz w:w="11907" w:h="16839" w:orient="portrait"/>
          <w:pgMar w:top="921" w:right="1106" w:bottom="676" w:left="1104" w:header="601" w:footer="511" w:gutter="0"/>
          <w:cols w:num="1" w:sep="0" w:space="720" w:equalWidth="1"/>
          <w:docGrid w:linePitch="360"/>
        </w:sectPr>
      </w:pPr>
      <w:r>
        <w:rPr>
          <w:rFonts w:ascii="宋体" w:hAnsi="宋体" w:cs="宋体"/>
        </w:rPr>
      </w:r>
      <w:r/>
    </w:p>
    <w:p>
      <w:pPr>
        <w:pStyle w:val="1011"/>
        <w:ind w:left="37"/>
        <w:spacing w:before="156" w:line="221" w:lineRule="auto"/>
        <w:rPr>
          <w:rFonts w:ascii="宋体" w:hAnsi="宋体" w:cs="宋体"/>
        </w:rPr>
      </w:pPr>
      <w:r/>
      <w:bookmarkStart w:id="85" w:name="OLE_LINK80"/>
      <w:r>
        <w:rPr>
          <w:rFonts w:ascii="宋体" w:hAnsi="宋体" w:cs="宋体"/>
          <w:b/>
          <w:bCs/>
          <w:spacing w:val="-5"/>
        </w:rPr>
        <w:t xml:space="preserve">格式1</w:t>
      </w:r>
      <w:r>
        <w:rPr>
          <w:rFonts w:hint="eastAsia" w:ascii="宋体" w:hAnsi="宋体" w:cs="宋体"/>
          <w:b/>
          <w:bCs/>
          <w:spacing w:val="-5"/>
        </w:rPr>
        <w:t xml:space="preserve">3</w:t>
      </w:r>
      <w:r>
        <w:rPr>
          <w:rFonts w:ascii="宋体" w:hAnsi="宋体" w:cs="宋体"/>
          <w:b/>
          <w:bCs/>
          <w:spacing w:val="-5"/>
        </w:rPr>
        <w:t xml:space="preserve">、投标（响应）保证承诺书</w:t>
      </w:r>
      <w:r>
        <w:rPr>
          <w:rFonts w:ascii="宋体" w:hAnsi="宋体" w:cs="宋体"/>
        </w:rPr>
      </w:r>
      <w:r/>
    </w:p>
    <w:p>
      <w:pPr>
        <w:pStyle w:val="1182"/>
        <w:spacing w:line="428" w:lineRule="auto"/>
      </w:pPr>
      <w:r/>
      <w:r/>
    </w:p>
    <w:p>
      <w:pPr>
        <w:pStyle w:val="1011"/>
        <w:ind w:left="3699"/>
        <w:spacing w:before="69" w:line="221" w:lineRule="auto"/>
        <w:rPr>
          <w:rFonts w:ascii="宋体" w:hAnsi="宋体" w:cs="宋体"/>
        </w:rPr>
      </w:pPr>
      <w:r>
        <w:rPr>
          <w:rFonts w:ascii="宋体" w:hAnsi="宋体" w:cs="宋体"/>
          <w:b/>
          <w:bCs/>
          <w:spacing w:val="-3"/>
        </w:rPr>
        <w:t xml:space="preserve">投标（响应）保证承诺书</w:t>
      </w:r>
      <w:r>
        <w:rPr>
          <w:rFonts w:ascii="宋体" w:hAnsi="宋体" w:cs="宋体"/>
        </w:rPr>
      </w:r>
      <w:r/>
    </w:p>
    <w:p>
      <w:pPr>
        <w:pStyle w:val="1011"/>
        <w:ind w:left="37"/>
        <w:spacing w:before="147" w:line="221" w:lineRule="auto"/>
        <w:rPr>
          <w:rFonts w:ascii="宋体" w:hAnsi="宋体" w:cs="宋体"/>
        </w:rPr>
      </w:pPr>
      <w:r>
        <w:rPr>
          <w:rFonts w:ascii="宋体" w:hAnsi="宋体" w:cs="宋体"/>
          <w:spacing w:val="-1"/>
        </w:rPr>
        <w:t xml:space="preserve">致：</w:t>
      </w:r>
      <w:r>
        <w:rPr>
          <w:rFonts w:ascii="宋体" w:hAnsi="宋体" w:cs="宋体"/>
          <w:spacing w:val="-1"/>
          <w:u w:val="single"/>
        </w:rPr>
        <w:t xml:space="preserve">苏州常发工程咨询有限公司</w:t>
      </w:r>
      <w:r>
        <w:rPr>
          <w:rFonts w:ascii="宋体" w:hAnsi="宋体" w:cs="宋体"/>
        </w:rPr>
      </w:r>
      <w:r/>
    </w:p>
    <w:p>
      <w:pPr>
        <w:pStyle w:val="1182"/>
        <w:spacing w:line="296" w:lineRule="auto"/>
      </w:pPr>
      <w:r/>
      <w:r/>
    </w:p>
    <w:p>
      <w:pPr>
        <w:pStyle w:val="1011"/>
        <w:ind w:left="43" w:right="98" w:firstLine="595"/>
        <w:spacing w:before="68" w:line="413" w:lineRule="auto"/>
        <w:rPr>
          <w:rFonts w:ascii="宋体" w:hAnsi="宋体" w:cs="宋体"/>
        </w:rPr>
      </w:pPr>
      <w:r>
        <w:rPr>
          <w:rFonts w:ascii="宋体" w:hAnsi="宋体" w:cs="宋体"/>
          <w:spacing w:val="-1"/>
        </w:rPr>
        <w:t xml:space="preserve">我（单位/本人，以下统称我单位）自愿参加</w:t>
      </w:r>
      <w:r>
        <w:rPr>
          <w:rFonts w:ascii="宋体" w:hAnsi="宋体" w:cs="宋体"/>
          <w:spacing w:val="-1"/>
          <w:u w:val="single"/>
        </w:rPr>
        <w:t xml:space="preserve">（项目名称和采购编号）</w:t>
      </w:r>
      <w:r>
        <w:rPr>
          <w:rFonts w:ascii="宋体" w:hAnsi="宋体" w:cs="宋体"/>
          <w:spacing w:val="-1"/>
        </w:rPr>
        <w:t xml:space="preserve">的投标（响</w:t>
      </w:r>
      <w:r>
        <w:rPr>
          <w:rFonts w:ascii="宋体" w:hAnsi="宋体" w:cs="宋体"/>
          <w:spacing w:val="-2"/>
        </w:rPr>
        <w:t xml:space="preserve">应）,并做出如</w:t>
      </w:r>
      <w:r>
        <w:rPr>
          <w:rFonts w:ascii="宋体" w:hAnsi="宋体" w:cs="宋体"/>
          <w:spacing w:val="-3"/>
        </w:rPr>
        <w:t xml:space="preserve">下承诺：</w:t>
      </w:r>
      <w:r>
        <w:rPr>
          <w:rFonts w:ascii="宋体" w:hAnsi="宋体" w:cs="宋体"/>
        </w:rPr>
      </w:r>
      <w:r/>
    </w:p>
    <w:p>
      <w:pPr>
        <w:pStyle w:val="1011"/>
        <w:ind w:left="36" w:firstLine="423"/>
        <w:jc w:val="both"/>
        <w:spacing w:before="148" w:line="411" w:lineRule="auto"/>
        <w:rPr>
          <w:rFonts w:ascii="宋体" w:hAnsi="宋体" w:cs="宋体"/>
        </w:rPr>
      </w:pPr>
      <w:r>
        <w:rPr>
          <w:rFonts w:ascii="宋体" w:hAnsi="宋体" w:cs="宋体"/>
          <w:spacing w:val="-1"/>
        </w:rPr>
        <w:t xml:space="preserve">一、除不可抗力外，我单位如果发生以下行为，将</w:t>
      </w:r>
      <w:r>
        <w:rPr>
          <w:rFonts w:ascii="宋体" w:hAnsi="宋体" w:cs="宋体"/>
          <w:spacing w:val="-2"/>
        </w:rPr>
        <w:t xml:space="preserve">在行为发生的</w:t>
      </w:r>
      <w:r>
        <w:rPr>
          <w:rFonts w:ascii="Times New Roman" w:hAnsi="Times New Roman" w:eastAsia="Times New Roman" w:cs="Times New Roman"/>
          <w:spacing w:val="-2"/>
        </w:rPr>
        <w:t xml:space="preserve">10 </w:t>
      </w:r>
      <w:r>
        <w:rPr>
          <w:rFonts w:ascii="宋体" w:hAnsi="宋体" w:cs="宋体"/>
          <w:spacing w:val="-2"/>
        </w:rPr>
        <w:t xml:space="preserve">个工作日内，向贵方（或采购人）</w:t>
      </w:r>
      <w:r>
        <w:rPr>
          <w:rFonts w:ascii="宋体" w:hAnsi="宋体" w:cs="宋体"/>
        </w:rPr>
        <w:t xml:space="preserve">支付本采购文件公布的预算金额（或最高限价）的</w:t>
      </w:r>
      <w:r>
        <w:rPr>
          <w:rFonts w:ascii="Times New Roman" w:hAnsi="Times New Roman" w:eastAsia="Times New Roman" w:cs="Times New Roman"/>
        </w:rPr>
        <w:t xml:space="preserve">2%</w:t>
      </w:r>
      <w:r>
        <w:rPr>
          <w:rFonts w:ascii="宋体" w:hAnsi="宋体" w:cs="宋体"/>
        </w:rPr>
        <w:t xml:space="preserve">作为违约赔偿金（数量不确定的</w:t>
      </w:r>
      <w:r>
        <w:rPr>
          <w:rFonts w:ascii="宋体" w:hAnsi="宋体" w:cs="宋体"/>
          <w:spacing w:val="-1"/>
        </w:rPr>
        <w:t xml:space="preserve">单价采购按壹万元</w:t>
      </w:r>
      <w:r>
        <w:rPr>
          <w:rFonts w:ascii="宋体" w:hAnsi="宋体" w:cs="宋体"/>
          <w:spacing w:val="-8"/>
        </w:rPr>
        <w:t xml:space="preserve">计）。</w:t>
      </w:r>
      <w:r>
        <w:rPr>
          <w:rFonts w:ascii="宋体" w:hAnsi="宋体" w:cs="宋体"/>
        </w:rPr>
      </w:r>
      <w:r/>
    </w:p>
    <w:p>
      <w:pPr>
        <w:pStyle w:val="1011"/>
        <w:ind w:left="473"/>
        <w:spacing w:line="219" w:lineRule="auto"/>
        <w:rPr>
          <w:rFonts w:ascii="宋体" w:hAnsi="宋体" w:cs="宋体"/>
        </w:rPr>
      </w:pPr>
      <w:r>
        <w:rPr>
          <w:rFonts w:ascii="Times New Roman" w:hAnsi="Times New Roman" w:eastAsia="Times New Roman" w:cs="Times New Roman"/>
          <w:spacing w:val="-1"/>
        </w:rPr>
        <w:t xml:space="preserve">1</w:t>
      </w:r>
      <w:r>
        <w:rPr>
          <w:rFonts w:ascii="宋体" w:hAnsi="宋体" w:cs="宋体"/>
          <w:spacing w:val="-1"/>
        </w:rPr>
        <w:t xml:space="preserve">、自投标（响应）截止时间至本项目发布中标（成交）公告为止，撤销投标（响应</w:t>
      </w:r>
      <w:r>
        <w:rPr>
          <w:rFonts w:ascii="宋体" w:hAnsi="宋体" w:cs="宋体"/>
          <w:spacing w:val="-7"/>
        </w:rPr>
        <w:t xml:space="preserve">）；</w:t>
      </w:r>
      <w:r>
        <w:rPr>
          <w:rFonts w:ascii="宋体" w:hAnsi="宋体" w:cs="宋体"/>
        </w:rPr>
      </w:r>
      <w:r/>
    </w:p>
    <w:p>
      <w:pPr>
        <w:pStyle w:val="1011"/>
        <w:ind w:left="453"/>
        <w:spacing w:before="218" w:line="221" w:lineRule="auto"/>
        <w:rPr>
          <w:rFonts w:ascii="宋体" w:hAnsi="宋体" w:cs="宋体"/>
        </w:rPr>
      </w:pPr>
      <w:r>
        <w:rPr>
          <w:rFonts w:ascii="Times New Roman" w:hAnsi="Times New Roman" w:eastAsia="Times New Roman" w:cs="Times New Roman"/>
          <w:spacing w:val="-2"/>
        </w:rPr>
        <w:t xml:space="preserve">2</w:t>
      </w:r>
      <w:r>
        <w:rPr>
          <w:rFonts w:ascii="宋体" w:hAnsi="宋体" w:cs="宋体"/>
          <w:spacing w:val="-2"/>
        </w:rPr>
        <w:t xml:space="preserve">、中标（成交）后不依法与采购人签订合同；</w:t>
      </w:r>
      <w:r>
        <w:rPr>
          <w:rFonts w:ascii="宋体" w:hAnsi="宋体" w:cs="宋体"/>
        </w:rPr>
      </w:r>
      <w:r/>
    </w:p>
    <w:p>
      <w:pPr>
        <w:pStyle w:val="1011"/>
        <w:ind w:left="457"/>
        <w:spacing w:before="216" w:line="221" w:lineRule="auto"/>
        <w:rPr>
          <w:rFonts w:ascii="宋体" w:hAnsi="宋体" w:cs="宋体"/>
        </w:rPr>
      </w:pPr>
      <w:r>
        <w:rPr>
          <w:rFonts w:ascii="Times New Roman" w:hAnsi="Times New Roman" w:eastAsia="Times New Roman" w:cs="Times New Roman"/>
        </w:rPr>
        <w:t xml:space="preserve">3</w:t>
      </w:r>
      <w:r>
        <w:rPr>
          <w:rFonts w:ascii="宋体" w:hAnsi="宋体" w:cs="宋体"/>
        </w:rPr>
        <w:t xml:space="preserve">、中标（成交）后不按本采购文件规定向采购人提交履约</w:t>
      </w:r>
      <w:r>
        <w:rPr>
          <w:rFonts w:ascii="宋体" w:hAnsi="宋体" w:cs="宋体"/>
          <w:spacing w:val="-1"/>
        </w:rPr>
        <w:t xml:space="preserve">保证金（如有</w:t>
      </w:r>
      <w:r>
        <w:rPr>
          <w:rFonts w:ascii="宋体" w:hAnsi="宋体" w:cs="宋体"/>
          <w:spacing w:val="-12"/>
        </w:rPr>
        <w:t xml:space="preserve">）；</w:t>
      </w:r>
      <w:r>
        <w:rPr>
          <w:rFonts w:ascii="宋体" w:hAnsi="宋体" w:cs="宋体"/>
        </w:rPr>
      </w:r>
      <w:r/>
    </w:p>
    <w:p>
      <w:pPr>
        <w:pStyle w:val="1011"/>
        <w:ind w:left="452"/>
        <w:spacing w:before="217" w:line="221" w:lineRule="auto"/>
        <w:rPr>
          <w:rFonts w:ascii="宋体" w:hAnsi="宋体" w:cs="宋体"/>
        </w:rPr>
      </w:pPr>
      <w:r>
        <w:rPr>
          <w:rFonts w:ascii="Times New Roman" w:hAnsi="Times New Roman" w:eastAsia="Times New Roman" w:cs="Times New Roman"/>
        </w:rPr>
        <w:t xml:space="preserve">4</w:t>
      </w:r>
      <w:r>
        <w:rPr>
          <w:rFonts w:ascii="宋体" w:hAnsi="宋体" w:cs="宋体"/>
        </w:rPr>
        <w:t xml:space="preserve">、中标（成交）后不按本采购文件规定向贵方缴纳采购代理费。</w:t>
      </w:r>
      <w:r/>
    </w:p>
    <w:p>
      <w:pPr>
        <w:pStyle w:val="1011"/>
        <w:ind w:left="39" w:right="91" w:firstLine="420"/>
        <w:spacing w:before="217" w:line="413" w:lineRule="auto"/>
        <w:rPr>
          <w:rFonts w:ascii="宋体" w:hAnsi="宋体" w:cs="宋体"/>
        </w:rPr>
      </w:pPr>
      <w:r>
        <w:rPr>
          <w:rFonts w:ascii="宋体" w:hAnsi="宋体" w:cs="宋体"/>
          <w:spacing w:val="-1"/>
        </w:rPr>
        <w:t xml:space="preserve">二、我单位知晓上述行为的法律后果，承认本承诺书作为贵方（或采购人）要求我单位履行违约赔偿义务的依据作用。</w:t>
      </w:r>
      <w:r>
        <w:rPr>
          <w:rFonts w:ascii="宋体" w:hAnsi="宋体" w:cs="宋体"/>
        </w:rPr>
      </w:r>
      <w:r/>
    </w:p>
    <w:p>
      <w:pPr>
        <w:pStyle w:val="1182"/>
        <w:spacing w:line="345" w:lineRule="auto"/>
      </w:pPr>
      <w:r/>
      <w:r/>
    </w:p>
    <w:p>
      <w:pPr>
        <w:pStyle w:val="1182"/>
        <w:spacing w:line="346" w:lineRule="auto"/>
      </w:pPr>
      <w:r/>
      <w:r/>
    </w:p>
    <w:p>
      <w:pPr>
        <w:pStyle w:val="1011"/>
        <w:ind w:left="459"/>
        <w:spacing w:before="69" w:line="221" w:lineRule="auto"/>
        <w:rPr>
          <w:rFonts w:ascii="宋体" w:hAnsi="宋体" w:cs="宋体"/>
        </w:rPr>
      </w:pPr>
      <w:r>
        <w:rPr>
          <w:rFonts w:ascii="宋体" w:hAnsi="宋体" w:cs="宋体"/>
          <w:spacing w:val="-2"/>
        </w:rPr>
        <w:t xml:space="preserve">投标（响应）人（公章</w:t>
      </w:r>
      <w:r>
        <w:rPr>
          <w:rFonts w:ascii="宋体" w:hAnsi="宋体" w:cs="宋体"/>
        </w:rPr>
        <w:t xml:space="preserve">）：</w:t>
      </w:r>
      <w:r/>
    </w:p>
    <w:p>
      <w:pPr>
        <w:pStyle w:val="1011"/>
        <w:ind w:left="457"/>
        <w:spacing w:before="217" w:line="231" w:lineRule="auto"/>
        <w:rPr>
          <w:rFonts w:ascii="宋体" w:hAnsi="宋体" w:cs="宋体"/>
        </w:rPr>
      </w:pPr>
      <w:r>
        <w:rPr>
          <w:rFonts w:ascii="宋体" w:hAnsi="宋体" w:cs="宋体"/>
          <w:spacing w:val="-12"/>
        </w:rPr>
        <w:t xml:space="preserve">地址：</w:t>
      </w:r>
      <w:r>
        <w:rPr>
          <w:rFonts w:ascii="宋体" w:hAnsi="宋体" w:cs="宋体"/>
        </w:rPr>
      </w:r>
      <w:r/>
    </w:p>
    <w:p>
      <w:pPr>
        <w:pStyle w:val="1011"/>
        <w:ind w:left="481"/>
        <w:spacing w:before="205" w:line="221" w:lineRule="auto"/>
        <w:rPr>
          <w:rFonts w:ascii="宋体" w:hAnsi="宋体" w:cs="宋体"/>
        </w:rPr>
      </w:pPr>
      <w:r>
        <w:rPr>
          <w:rFonts w:ascii="宋体" w:hAnsi="宋体" w:cs="宋体"/>
          <w:spacing w:val="-11"/>
        </w:rPr>
        <w:t xml:space="preserve">电话：传真：</w:t>
      </w:r>
      <w:r>
        <w:rPr>
          <w:rFonts w:ascii="宋体" w:hAnsi="宋体" w:cs="宋体"/>
        </w:rPr>
      </w:r>
      <w:r/>
    </w:p>
    <w:p>
      <w:pPr>
        <w:pStyle w:val="1011"/>
        <w:ind w:left="482"/>
        <w:spacing w:before="217" w:line="221" w:lineRule="auto"/>
        <w:rPr>
          <w:rFonts w:ascii="宋体" w:hAnsi="宋体" w:cs="宋体"/>
        </w:rPr>
      </w:pPr>
      <w:r>
        <w:rPr>
          <w:rFonts w:ascii="宋体" w:hAnsi="宋体" w:cs="宋体"/>
          <w:spacing w:val="-10"/>
        </w:rPr>
        <w:t xml:space="preserve">电子邮件：邮编：</w:t>
      </w:r>
      <w:r>
        <w:rPr>
          <w:rFonts w:ascii="宋体" w:hAnsi="宋体" w:cs="宋体"/>
        </w:rPr>
      </w:r>
      <w:r/>
    </w:p>
    <w:p>
      <w:pPr>
        <w:pStyle w:val="1011"/>
        <w:ind w:left="458"/>
        <w:spacing w:before="216" w:line="221" w:lineRule="auto"/>
        <w:rPr>
          <w:rFonts w:ascii="宋体" w:hAnsi="宋体" w:cs="宋体"/>
        </w:rPr>
      </w:pPr>
      <w:r>
        <w:rPr>
          <w:rFonts w:ascii="宋体" w:hAnsi="宋体" w:cs="宋体"/>
          <w:spacing w:val="-1"/>
        </w:rPr>
        <w:t xml:space="preserve">法定代表人或代理人（签字或盖章</w:t>
      </w:r>
      <w:r>
        <w:rPr>
          <w:rFonts w:ascii="宋体" w:hAnsi="宋体" w:cs="宋体"/>
          <w:spacing w:val="4"/>
        </w:rPr>
        <w:t xml:space="preserve">）：</w:t>
      </w:r>
      <w:r>
        <w:rPr>
          <w:rFonts w:ascii="宋体" w:hAnsi="宋体" w:cs="宋体"/>
        </w:rPr>
      </w:r>
      <w:r/>
    </w:p>
    <w:p>
      <w:pPr>
        <w:pStyle w:val="1011"/>
        <w:ind w:left="493"/>
        <w:spacing w:before="217" w:line="221" w:lineRule="auto"/>
        <w:rPr>
          <w:rFonts w:ascii="宋体" w:hAnsi="宋体" w:cs="宋体"/>
        </w:rPr>
      </w:pPr>
      <w:r>
        <w:rPr>
          <w:rFonts w:ascii="宋体" w:hAnsi="宋体" w:cs="宋体"/>
          <w:spacing w:val="-11"/>
        </w:rPr>
        <w:t xml:space="preserve">日期：年月日</w:t>
      </w:r>
      <w:bookmarkEnd w:id="85"/>
      <w:r>
        <w:rPr>
          <w:rFonts w:ascii="宋体" w:hAnsi="宋体" w:cs="宋体"/>
        </w:rPr>
      </w:r>
      <w:r/>
    </w:p>
    <w:p>
      <w:pPr>
        <w:pStyle w:val="1011"/>
        <w:spacing w:line="221" w:lineRule="auto"/>
        <w:rPr>
          <w:rFonts w:ascii="宋体" w:hAnsi="宋体" w:cs="宋体"/>
        </w:rPr>
        <w:sectPr>
          <w:headerReference w:type="default" r:id="rId18"/>
          <w:footnotePr/>
          <w:endnotePr/>
          <w:type w:val="nextPage"/>
          <w:pgSz w:w="11907" w:h="16839" w:orient="portrait"/>
          <w:pgMar w:top="921" w:right="1041" w:bottom="676" w:left="1104" w:header="601" w:footer="511" w:gutter="0"/>
          <w:cols w:num="1" w:sep="0" w:space="720" w:equalWidth="1"/>
          <w:docGrid w:linePitch="360"/>
        </w:sectPr>
      </w:pPr>
      <w:r>
        <w:rPr>
          <w:rFonts w:ascii="宋体" w:hAnsi="宋体" w:cs="宋体"/>
        </w:rPr>
      </w:r>
      <w:r/>
    </w:p>
    <w:p>
      <w:pPr>
        <w:pStyle w:val="1011"/>
        <w:ind w:left="37"/>
        <w:spacing w:before="157" w:line="221" w:lineRule="auto"/>
        <w:rPr>
          <w:rFonts w:ascii="宋体" w:hAnsi="宋体" w:cs="宋体"/>
        </w:rPr>
      </w:pPr>
      <w:r/>
      <w:bookmarkStart w:id="86" w:name="OLE_LINK81"/>
      <w:r>
        <w:rPr>
          <w:rFonts w:ascii="宋体" w:hAnsi="宋体" w:cs="宋体"/>
          <w:b/>
          <w:bCs/>
          <w:spacing w:val="-4"/>
        </w:rPr>
        <w:t xml:space="preserve">格式</w:t>
      </w:r>
      <w:r>
        <w:rPr>
          <w:rFonts w:ascii="Times New Roman" w:hAnsi="Times New Roman" w:eastAsia="Times New Roman" w:cs="Times New Roman"/>
          <w:b/>
          <w:bCs/>
          <w:spacing w:val="-4"/>
        </w:rPr>
        <w:t xml:space="preserve">1</w:t>
      </w:r>
      <w:r>
        <w:rPr>
          <w:rFonts w:hint="eastAsia" w:ascii="Times New Roman" w:hAnsi="Times New Roman" w:cs="Times New Roman"/>
          <w:b/>
          <w:bCs/>
          <w:spacing w:val="-4"/>
        </w:rPr>
        <w:t xml:space="preserve">4</w:t>
      </w:r>
      <w:r>
        <w:rPr>
          <w:rFonts w:ascii="宋体" w:hAnsi="宋体" w:cs="宋体"/>
          <w:b/>
          <w:bCs/>
          <w:spacing w:val="-4"/>
        </w:rPr>
        <w:t xml:space="preserve">、项目人员配备表</w:t>
      </w:r>
      <w:r>
        <w:rPr>
          <w:rFonts w:ascii="宋体" w:hAnsi="宋体" w:cs="宋体"/>
        </w:rPr>
      </w:r>
      <w:r/>
    </w:p>
    <w:p>
      <w:pPr>
        <w:pStyle w:val="1182"/>
        <w:spacing w:line="416" w:lineRule="auto"/>
      </w:pPr>
      <w:r/>
      <w:r/>
    </w:p>
    <w:p>
      <w:pPr>
        <w:pStyle w:val="1011"/>
        <w:ind w:left="3981"/>
        <w:spacing w:before="68" w:line="222" w:lineRule="auto"/>
        <w:rPr>
          <w:rFonts w:ascii="宋体" w:hAnsi="宋体" w:cs="宋体"/>
        </w:rPr>
      </w:pPr>
      <w:r>
        <w:rPr>
          <w:rFonts w:ascii="宋体" w:hAnsi="宋体" w:cs="宋体"/>
          <w:b/>
          <w:bCs/>
          <w:spacing w:val="16"/>
        </w:rPr>
        <w:t xml:space="preserve">项目人员配备表</w:t>
      </w:r>
      <w:r>
        <w:rPr>
          <w:rFonts w:ascii="宋体" w:hAnsi="宋体" w:cs="宋体"/>
        </w:rPr>
      </w:r>
      <w:r/>
    </w:p>
    <w:p>
      <w:pPr>
        <w:pStyle w:val="1011"/>
        <w:spacing w:before="25"/>
      </w:pPr>
      <w:r/>
      <w:r/>
    </w:p>
    <w:p>
      <w:pPr>
        <w:pStyle w:val="1011"/>
        <w:spacing w:before="25"/>
      </w:pPr>
      <w:r/>
      <w:r/>
    </w:p>
    <w:tbl>
      <w:tblPr>
        <w:tblW w:w="9654"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9"/>
        <w:gridCol w:w="772"/>
        <w:gridCol w:w="748"/>
        <w:gridCol w:w="763"/>
        <w:gridCol w:w="990"/>
        <w:gridCol w:w="1156"/>
        <w:gridCol w:w="659"/>
        <w:gridCol w:w="688"/>
        <w:gridCol w:w="1347"/>
        <w:gridCol w:w="1347"/>
        <w:gridCol w:w="585"/>
      </w:tblGrid>
      <w:tr>
        <w:trPr>
          <w:cantSplit/>
          <w:trHeight w:val="419"/>
        </w:trPr>
        <w:tc>
          <w:tcPr>
            <w:tcBorders>
              <w:bottom w:val="none" w:color="000000" w:sz="4" w:space="0"/>
            </w:tcBorders>
            <w:tcW w:w="599" w:type="dxa"/>
            <w:vAlign w:val="top"/>
            <w:vMerge w:val="restart"/>
            <w:textDirection w:val="lrTb"/>
            <w:noWrap w:val="false"/>
          </w:tcPr>
          <w:p>
            <w:pPr>
              <w:pStyle w:val="1198"/>
              <w:ind w:left="90"/>
              <w:spacing w:before="245" w:line="223" w:lineRule="auto"/>
              <w:rPr>
                <w:lang w:eastAsia="en-US"/>
              </w:rPr>
            </w:pPr>
            <w:r>
              <w:rPr>
                <w:spacing w:val="-2"/>
                <w:lang w:eastAsia="en-US"/>
              </w:rPr>
              <w:t xml:space="preserve">序号</w:t>
            </w:r>
            <w:r>
              <w:rPr>
                <w:lang w:eastAsia="en-US"/>
              </w:rPr>
            </w:r>
            <w:r/>
          </w:p>
        </w:tc>
        <w:tc>
          <w:tcPr>
            <w:tcBorders>
              <w:bottom w:val="none" w:color="000000" w:sz="4" w:space="0"/>
            </w:tcBorders>
            <w:tcW w:w="772" w:type="dxa"/>
            <w:vAlign w:val="top"/>
            <w:vMerge w:val="restart"/>
            <w:textDirection w:val="lrTb"/>
            <w:noWrap w:val="false"/>
          </w:tcPr>
          <w:p>
            <w:pPr>
              <w:pStyle w:val="1198"/>
              <w:ind w:left="176"/>
              <w:spacing w:before="245" w:line="221" w:lineRule="auto"/>
              <w:rPr>
                <w:lang w:eastAsia="en-US"/>
              </w:rPr>
            </w:pPr>
            <w:r>
              <w:rPr>
                <w:spacing w:val="-2"/>
                <w:lang w:eastAsia="en-US"/>
              </w:rPr>
              <w:t xml:space="preserve">姓名</w:t>
            </w:r>
            <w:r>
              <w:rPr>
                <w:lang w:eastAsia="en-US"/>
              </w:rPr>
            </w:r>
            <w:r/>
          </w:p>
        </w:tc>
        <w:tc>
          <w:tcPr>
            <w:tcBorders>
              <w:bottom w:val="none" w:color="000000" w:sz="4" w:space="0"/>
            </w:tcBorders>
            <w:tcW w:w="748" w:type="dxa"/>
            <w:vAlign w:val="top"/>
            <w:vMerge w:val="restart"/>
            <w:textDirection w:val="lrTb"/>
            <w:noWrap w:val="false"/>
          </w:tcPr>
          <w:p>
            <w:pPr>
              <w:pStyle w:val="1198"/>
              <w:ind w:left="163"/>
              <w:spacing w:before="245" w:line="222" w:lineRule="auto"/>
              <w:rPr>
                <w:lang w:eastAsia="en-US"/>
              </w:rPr>
            </w:pPr>
            <w:r>
              <w:rPr>
                <w:spacing w:val="-2"/>
                <w:lang w:eastAsia="en-US"/>
              </w:rPr>
              <w:t xml:space="preserve">性别</w:t>
            </w:r>
            <w:r>
              <w:rPr>
                <w:lang w:eastAsia="en-US"/>
              </w:rPr>
            </w:r>
            <w:r/>
          </w:p>
        </w:tc>
        <w:tc>
          <w:tcPr>
            <w:tcBorders>
              <w:bottom w:val="none" w:color="000000" w:sz="4" w:space="0"/>
            </w:tcBorders>
            <w:tcW w:w="763" w:type="dxa"/>
            <w:vAlign w:val="top"/>
            <w:vMerge w:val="restart"/>
            <w:textDirection w:val="lrTb"/>
            <w:noWrap w:val="false"/>
          </w:tcPr>
          <w:p>
            <w:pPr>
              <w:pStyle w:val="1198"/>
              <w:ind w:left="172"/>
              <w:spacing w:before="245" w:line="221" w:lineRule="auto"/>
              <w:rPr>
                <w:lang w:eastAsia="en-US"/>
              </w:rPr>
            </w:pPr>
            <w:r>
              <w:rPr>
                <w:spacing w:val="-2"/>
                <w:lang w:eastAsia="en-US"/>
              </w:rPr>
              <w:t xml:space="preserve">年龄</w:t>
            </w:r>
            <w:r>
              <w:rPr>
                <w:lang w:eastAsia="en-US"/>
              </w:rPr>
            </w:r>
            <w:r/>
          </w:p>
        </w:tc>
        <w:tc>
          <w:tcPr>
            <w:tcBorders>
              <w:bottom w:val="none" w:color="000000" w:sz="4" w:space="0"/>
            </w:tcBorders>
            <w:tcW w:w="990" w:type="dxa"/>
            <w:vAlign w:val="top"/>
            <w:vMerge w:val="restart"/>
            <w:textDirection w:val="lrTb"/>
            <w:noWrap w:val="false"/>
          </w:tcPr>
          <w:p>
            <w:pPr>
              <w:pStyle w:val="1198"/>
              <w:ind w:left="79"/>
              <w:spacing w:before="245" w:line="222" w:lineRule="auto"/>
              <w:rPr>
                <w:lang w:eastAsia="en-US"/>
              </w:rPr>
            </w:pPr>
            <w:r>
              <w:rPr>
                <w:spacing w:val="-2"/>
                <w:lang w:eastAsia="en-US"/>
              </w:rPr>
              <w:t xml:space="preserve">文化程度</w:t>
            </w:r>
            <w:r>
              <w:rPr>
                <w:lang w:eastAsia="en-US"/>
              </w:rPr>
            </w:r>
            <w:r/>
          </w:p>
        </w:tc>
        <w:tc>
          <w:tcPr>
            <w:tcBorders>
              <w:bottom w:val="none" w:color="000000" w:sz="4" w:space="0"/>
            </w:tcBorders>
            <w:tcW w:w="1156" w:type="dxa"/>
            <w:vAlign w:val="top"/>
            <w:vMerge w:val="restart"/>
            <w:textDirection w:val="lrTb"/>
            <w:noWrap w:val="false"/>
          </w:tcPr>
          <w:p>
            <w:pPr>
              <w:pStyle w:val="1198"/>
              <w:ind w:left="163"/>
              <w:spacing w:before="245" w:line="221" w:lineRule="auto"/>
              <w:rPr>
                <w:lang w:eastAsia="en-US"/>
              </w:rPr>
            </w:pPr>
            <w:r>
              <w:rPr>
                <w:spacing w:val="-2"/>
                <w:lang w:eastAsia="en-US"/>
              </w:rPr>
              <w:t xml:space="preserve">技术职称</w:t>
            </w:r>
            <w:r>
              <w:rPr>
                <w:lang w:eastAsia="en-US"/>
              </w:rPr>
            </w:r>
            <w:r/>
          </w:p>
        </w:tc>
        <w:tc>
          <w:tcPr>
            <w:gridSpan w:val="2"/>
            <w:tcW w:w="1347" w:type="dxa"/>
            <w:vAlign w:val="top"/>
            <w:textDirection w:val="lrTb"/>
            <w:noWrap w:val="false"/>
          </w:tcPr>
          <w:p>
            <w:pPr>
              <w:pStyle w:val="1198"/>
              <w:ind w:left="259"/>
              <w:spacing w:before="33" w:line="221" w:lineRule="auto"/>
              <w:rPr>
                <w:lang w:eastAsia="en-US"/>
              </w:rPr>
            </w:pPr>
            <w:r>
              <w:rPr>
                <w:spacing w:val="-4"/>
                <w:lang w:eastAsia="en-US"/>
              </w:rPr>
              <w:t xml:space="preserve">资格证书</w:t>
            </w:r>
            <w:r>
              <w:rPr>
                <w:lang w:eastAsia="en-US"/>
              </w:rPr>
            </w:r>
            <w:r/>
          </w:p>
        </w:tc>
        <w:tc>
          <w:tcPr>
            <w:tcBorders>
              <w:bottom w:val="none" w:color="000000" w:sz="4" w:space="0"/>
            </w:tcBorders>
            <w:tcW w:w="1347" w:type="dxa"/>
            <w:vAlign w:val="top"/>
            <w:vMerge w:val="restart"/>
            <w:textDirection w:val="lrTb"/>
            <w:noWrap w:val="false"/>
          </w:tcPr>
          <w:p>
            <w:pPr>
              <w:pStyle w:val="1198"/>
              <w:ind w:left="259" w:right="34" w:hanging="209"/>
              <w:spacing w:before="41" w:line="348" w:lineRule="auto"/>
            </w:pPr>
            <w:r>
              <w:rPr>
                <w:spacing w:val="-2"/>
              </w:rPr>
              <w:t xml:space="preserve">从事本专业工作的年限</w:t>
            </w:r>
            <w:r/>
          </w:p>
        </w:tc>
        <w:tc>
          <w:tcPr>
            <w:tcBorders>
              <w:bottom w:val="none" w:color="000000" w:sz="4" w:space="0"/>
            </w:tcBorders>
            <w:tcW w:w="1347" w:type="dxa"/>
            <w:vAlign w:val="top"/>
            <w:vMerge w:val="restart"/>
            <w:textDirection w:val="lrTb"/>
            <w:noWrap w:val="false"/>
          </w:tcPr>
          <w:p>
            <w:pPr>
              <w:pStyle w:val="1198"/>
              <w:ind w:left="52"/>
              <w:spacing w:before="40" w:line="221" w:lineRule="auto"/>
            </w:pPr>
            <w:r>
              <w:rPr>
                <w:spacing w:val="-1"/>
              </w:rPr>
              <w:t xml:space="preserve">本项目中拟担</w:t>
            </w:r>
            <w:r/>
          </w:p>
          <w:p>
            <w:pPr>
              <w:pStyle w:val="1198"/>
              <w:ind w:left="262"/>
              <w:spacing w:before="159" w:line="221" w:lineRule="auto"/>
            </w:pPr>
            <w:r>
              <w:rPr>
                <w:spacing w:val="-1"/>
              </w:rPr>
              <w:t xml:space="preserve">任的职务</w:t>
            </w:r>
            <w:r/>
          </w:p>
        </w:tc>
        <w:tc>
          <w:tcPr>
            <w:tcBorders>
              <w:bottom w:val="none" w:color="000000" w:sz="4" w:space="0"/>
            </w:tcBorders>
            <w:tcW w:w="585" w:type="dxa"/>
            <w:vAlign w:val="top"/>
            <w:vMerge w:val="restart"/>
            <w:textDirection w:val="lrTb"/>
            <w:noWrap w:val="false"/>
          </w:tcPr>
          <w:p>
            <w:pPr>
              <w:pStyle w:val="1198"/>
              <w:ind w:left="92"/>
              <w:spacing w:before="245" w:line="223" w:lineRule="auto"/>
              <w:rPr>
                <w:lang w:eastAsia="en-US"/>
              </w:rPr>
            </w:pPr>
            <w:r>
              <w:rPr>
                <w:spacing w:val="-3"/>
                <w:lang w:eastAsia="en-US"/>
              </w:rPr>
              <w:t xml:space="preserve">备注</w:t>
            </w:r>
            <w:r>
              <w:rPr>
                <w:lang w:eastAsia="en-US"/>
              </w:rPr>
            </w:r>
            <w:r/>
          </w:p>
        </w:tc>
      </w:tr>
      <w:tr>
        <w:trPr>
          <w:cantSplit/>
          <w:trHeight w:val="414"/>
        </w:trPr>
        <w:tc>
          <w:tcPr>
            <w:tcBorders>
              <w:top w:val="none" w:color="000000" w:sz="4" w:space="0"/>
            </w:tcBorders>
            <w:tcW w:w="599" w:type="dxa"/>
            <w:vAlign w:val="top"/>
            <w:vMerge w:val="continue"/>
            <w:textDirection w:val="lrTb"/>
            <w:noWrap w:val="false"/>
          </w:tcPr>
          <w:p>
            <w:pPr>
              <w:pStyle w:val="1011"/>
              <w:rPr>
                <w:rFonts w:eastAsia="Arial"/>
                <w:lang w:eastAsia="en-US"/>
              </w:rPr>
            </w:pPr>
            <w:r>
              <w:rPr>
                <w:rFonts w:eastAsia="Arial"/>
                <w:lang w:eastAsia="en-US"/>
              </w:rPr>
            </w:r>
            <w:r/>
          </w:p>
        </w:tc>
        <w:tc>
          <w:tcPr>
            <w:tcBorders>
              <w:top w:val="none" w:color="000000" w:sz="4" w:space="0"/>
            </w:tcBorders>
            <w:tcW w:w="772" w:type="dxa"/>
            <w:vAlign w:val="top"/>
            <w:vMerge w:val="continue"/>
            <w:textDirection w:val="lrTb"/>
            <w:noWrap w:val="false"/>
          </w:tcPr>
          <w:p>
            <w:pPr>
              <w:pStyle w:val="1011"/>
              <w:rPr>
                <w:rFonts w:eastAsia="Arial"/>
                <w:lang w:eastAsia="en-US"/>
              </w:rPr>
            </w:pPr>
            <w:r>
              <w:rPr>
                <w:rFonts w:eastAsia="Arial"/>
                <w:lang w:eastAsia="en-US"/>
              </w:rPr>
            </w:r>
            <w:r/>
          </w:p>
        </w:tc>
        <w:tc>
          <w:tcPr>
            <w:tcBorders>
              <w:top w:val="none" w:color="000000" w:sz="4" w:space="0"/>
            </w:tcBorders>
            <w:tcW w:w="748" w:type="dxa"/>
            <w:vAlign w:val="top"/>
            <w:vMerge w:val="continue"/>
            <w:textDirection w:val="lrTb"/>
            <w:noWrap w:val="false"/>
          </w:tcPr>
          <w:p>
            <w:pPr>
              <w:pStyle w:val="1011"/>
              <w:rPr>
                <w:rFonts w:eastAsia="Arial"/>
                <w:lang w:eastAsia="en-US"/>
              </w:rPr>
            </w:pPr>
            <w:r>
              <w:rPr>
                <w:rFonts w:eastAsia="Arial"/>
                <w:lang w:eastAsia="en-US"/>
              </w:rPr>
            </w:r>
            <w:r/>
          </w:p>
        </w:tc>
        <w:tc>
          <w:tcPr>
            <w:tcBorders>
              <w:top w:val="none" w:color="000000" w:sz="4" w:space="0"/>
            </w:tcBorders>
            <w:tcW w:w="763" w:type="dxa"/>
            <w:vAlign w:val="top"/>
            <w:vMerge w:val="continue"/>
            <w:textDirection w:val="lrTb"/>
            <w:noWrap w:val="false"/>
          </w:tcPr>
          <w:p>
            <w:pPr>
              <w:pStyle w:val="1011"/>
              <w:rPr>
                <w:rFonts w:eastAsia="Arial"/>
                <w:lang w:eastAsia="en-US"/>
              </w:rPr>
            </w:pPr>
            <w:r>
              <w:rPr>
                <w:rFonts w:eastAsia="Arial"/>
                <w:lang w:eastAsia="en-US"/>
              </w:rPr>
            </w:r>
            <w:r/>
          </w:p>
        </w:tc>
        <w:tc>
          <w:tcPr>
            <w:tcBorders>
              <w:top w:val="none" w:color="000000" w:sz="4" w:space="0"/>
            </w:tcBorders>
            <w:tcW w:w="990" w:type="dxa"/>
            <w:vAlign w:val="top"/>
            <w:vMerge w:val="continue"/>
            <w:textDirection w:val="lrTb"/>
            <w:noWrap w:val="false"/>
          </w:tcPr>
          <w:p>
            <w:pPr>
              <w:pStyle w:val="1011"/>
              <w:rPr>
                <w:rFonts w:eastAsia="Arial"/>
                <w:lang w:eastAsia="en-US"/>
              </w:rPr>
            </w:pPr>
            <w:r>
              <w:rPr>
                <w:rFonts w:eastAsia="Arial"/>
                <w:lang w:eastAsia="en-US"/>
              </w:rPr>
            </w:r>
            <w:r/>
          </w:p>
        </w:tc>
        <w:tc>
          <w:tcPr>
            <w:tcBorders>
              <w:top w:val="none" w:color="000000" w:sz="4" w:space="0"/>
            </w:tcBorders>
            <w:tcW w:w="1156" w:type="dxa"/>
            <w:vAlign w:val="top"/>
            <w:vMerge w:val="continue"/>
            <w:textDirection w:val="lrTb"/>
            <w:noWrap w:val="false"/>
          </w:tcPr>
          <w:p>
            <w:pPr>
              <w:pStyle w:val="1011"/>
              <w:rPr>
                <w:rFonts w:eastAsia="Arial"/>
                <w:lang w:eastAsia="en-US"/>
              </w:rPr>
            </w:pPr>
            <w:r>
              <w:rPr>
                <w:rFonts w:eastAsia="Arial"/>
                <w:lang w:eastAsia="en-US"/>
              </w:rPr>
            </w:r>
            <w:r/>
          </w:p>
        </w:tc>
        <w:tc>
          <w:tcPr>
            <w:tcW w:w="659" w:type="dxa"/>
            <w:vAlign w:val="top"/>
            <w:textDirection w:val="lrTb"/>
            <w:noWrap w:val="false"/>
          </w:tcPr>
          <w:p>
            <w:pPr>
              <w:pStyle w:val="1198"/>
              <w:ind w:left="115"/>
              <w:spacing w:before="30" w:line="221" w:lineRule="auto"/>
              <w:rPr>
                <w:lang w:eastAsia="en-US"/>
              </w:rPr>
            </w:pPr>
            <w:r>
              <w:rPr>
                <w:spacing w:val="-2"/>
                <w:lang w:eastAsia="en-US"/>
              </w:rPr>
              <w:t xml:space="preserve">类别</w:t>
            </w:r>
            <w:r>
              <w:rPr>
                <w:lang w:eastAsia="en-US"/>
              </w:rPr>
            </w:r>
            <w:r/>
          </w:p>
        </w:tc>
        <w:tc>
          <w:tcPr>
            <w:tcW w:w="688" w:type="dxa"/>
            <w:vAlign w:val="top"/>
            <w:textDirection w:val="lrTb"/>
            <w:noWrap w:val="false"/>
          </w:tcPr>
          <w:p>
            <w:pPr>
              <w:pStyle w:val="1198"/>
              <w:ind w:left="132"/>
              <w:spacing w:before="30" w:line="221" w:lineRule="auto"/>
              <w:rPr>
                <w:lang w:eastAsia="en-US"/>
              </w:rPr>
            </w:pPr>
            <w:r>
              <w:rPr>
                <w:spacing w:val="-2"/>
                <w:lang w:eastAsia="en-US"/>
              </w:rPr>
              <w:t xml:space="preserve">编号</w:t>
            </w:r>
            <w:r>
              <w:rPr>
                <w:lang w:eastAsia="en-US"/>
              </w:rPr>
            </w:r>
            <w:r/>
          </w:p>
        </w:tc>
        <w:tc>
          <w:tcPr>
            <w:tcBorders>
              <w:top w:val="none" w:color="000000" w:sz="4" w:space="0"/>
            </w:tcBorders>
            <w:tcW w:w="1347" w:type="dxa"/>
            <w:vAlign w:val="top"/>
            <w:vMerge w:val="continue"/>
            <w:textDirection w:val="lrTb"/>
            <w:noWrap w:val="false"/>
          </w:tcPr>
          <w:p>
            <w:pPr>
              <w:pStyle w:val="1011"/>
              <w:rPr>
                <w:rFonts w:eastAsia="Arial"/>
                <w:lang w:eastAsia="en-US"/>
              </w:rPr>
            </w:pPr>
            <w:r>
              <w:rPr>
                <w:rFonts w:eastAsia="Arial"/>
                <w:lang w:eastAsia="en-US"/>
              </w:rPr>
            </w:r>
            <w:r/>
          </w:p>
        </w:tc>
        <w:tc>
          <w:tcPr>
            <w:tcBorders>
              <w:top w:val="none" w:color="000000" w:sz="4" w:space="0"/>
            </w:tcBorders>
            <w:tcW w:w="1347" w:type="dxa"/>
            <w:vAlign w:val="top"/>
            <w:vMerge w:val="continue"/>
            <w:textDirection w:val="lrTb"/>
            <w:noWrap w:val="false"/>
          </w:tcPr>
          <w:p>
            <w:pPr>
              <w:pStyle w:val="1011"/>
              <w:rPr>
                <w:rFonts w:eastAsia="Arial"/>
                <w:lang w:eastAsia="en-US"/>
              </w:rPr>
            </w:pPr>
            <w:r>
              <w:rPr>
                <w:rFonts w:eastAsia="Arial"/>
                <w:lang w:eastAsia="en-US"/>
              </w:rPr>
            </w:r>
            <w:r/>
          </w:p>
        </w:tc>
        <w:tc>
          <w:tcPr>
            <w:tcBorders>
              <w:top w:val="none" w:color="000000" w:sz="4" w:space="0"/>
            </w:tcBorders>
            <w:tcW w:w="585" w:type="dxa"/>
            <w:vAlign w:val="top"/>
            <w:vMerge w:val="continue"/>
            <w:textDirection w:val="lrTb"/>
            <w:noWrap w:val="false"/>
          </w:tcPr>
          <w:p>
            <w:pPr>
              <w:pStyle w:val="1011"/>
              <w:rPr>
                <w:rFonts w:eastAsia="Arial"/>
                <w:lang w:eastAsia="en-US"/>
              </w:rPr>
            </w:pPr>
            <w:r>
              <w:rPr>
                <w:rFonts w:eastAsia="Arial"/>
                <w:lang w:eastAsia="en-US"/>
              </w:rPr>
            </w:r>
            <w:r/>
          </w:p>
        </w:tc>
      </w:tr>
      <w:tr>
        <w:trPr>
          <w:trHeight w:val="471"/>
        </w:trPr>
        <w:tc>
          <w:tcPr>
            <w:tcW w:w="599" w:type="dxa"/>
            <w:vAlign w:val="top"/>
            <w:textDirection w:val="lrTb"/>
            <w:noWrap w:val="false"/>
          </w:tcPr>
          <w:p>
            <w:pPr>
              <w:pStyle w:val="1011"/>
              <w:rPr>
                <w:rFonts w:eastAsia="Arial"/>
                <w:lang w:eastAsia="en-US"/>
              </w:rPr>
            </w:pPr>
            <w:r>
              <w:rPr>
                <w:rFonts w:eastAsia="Arial"/>
                <w:lang w:eastAsia="en-US"/>
              </w:rPr>
            </w:r>
            <w:r/>
          </w:p>
        </w:tc>
        <w:tc>
          <w:tcPr>
            <w:tcW w:w="772" w:type="dxa"/>
            <w:vAlign w:val="top"/>
            <w:textDirection w:val="lrTb"/>
            <w:noWrap w:val="false"/>
          </w:tcPr>
          <w:p>
            <w:pPr>
              <w:pStyle w:val="1011"/>
              <w:rPr>
                <w:rFonts w:eastAsia="Arial"/>
                <w:lang w:eastAsia="en-US"/>
              </w:rPr>
            </w:pPr>
            <w:r>
              <w:rPr>
                <w:rFonts w:eastAsia="Arial"/>
                <w:lang w:eastAsia="en-US"/>
              </w:rPr>
            </w:r>
            <w:r/>
          </w:p>
        </w:tc>
        <w:tc>
          <w:tcPr>
            <w:tcW w:w="748" w:type="dxa"/>
            <w:vAlign w:val="top"/>
            <w:textDirection w:val="lrTb"/>
            <w:noWrap w:val="false"/>
          </w:tcPr>
          <w:p>
            <w:pPr>
              <w:pStyle w:val="1011"/>
              <w:rPr>
                <w:rFonts w:eastAsia="Arial"/>
                <w:lang w:eastAsia="en-US"/>
              </w:rPr>
            </w:pPr>
            <w:r>
              <w:rPr>
                <w:rFonts w:eastAsia="Arial"/>
                <w:lang w:eastAsia="en-US"/>
              </w:rPr>
            </w:r>
            <w:r/>
          </w:p>
        </w:tc>
        <w:tc>
          <w:tcPr>
            <w:tcW w:w="763" w:type="dxa"/>
            <w:vAlign w:val="top"/>
            <w:textDirection w:val="lrTb"/>
            <w:noWrap w:val="false"/>
          </w:tcPr>
          <w:p>
            <w:pPr>
              <w:pStyle w:val="1011"/>
              <w:rPr>
                <w:rFonts w:eastAsia="Arial"/>
                <w:lang w:eastAsia="en-US"/>
              </w:rPr>
            </w:pPr>
            <w:r>
              <w:rPr>
                <w:rFonts w:eastAsia="Arial"/>
                <w:lang w:eastAsia="en-US"/>
              </w:rPr>
            </w:r>
            <w:r/>
          </w:p>
        </w:tc>
        <w:tc>
          <w:tcPr>
            <w:tcW w:w="990" w:type="dxa"/>
            <w:vAlign w:val="top"/>
            <w:textDirection w:val="lrTb"/>
            <w:noWrap w:val="false"/>
          </w:tcPr>
          <w:p>
            <w:pPr>
              <w:pStyle w:val="1011"/>
              <w:rPr>
                <w:rFonts w:eastAsia="Arial"/>
                <w:lang w:eastAsia="en-US"/>
              </w:rPr>
            </w:pPr>
            <w:r>
              <w:rPr>
                <w:rFonts w:eastAsia="Arial"/>
                <w:lang w:eastAsia="en-US"/>
              </w:rPr>
            </w:r>
            <w:r/>
          </w:p>
        </w:tc>
        <w:tc>
          <w:tcPr>
            <w:tcW w:w="1156" w:type="dxa"/>
            <w:vAlign w:val="top"/>
            <w:textDirection w:val="lrTb"/>
            <w:noWrap w:val="false"/>
          </w:tcPr>
          <w:p>
            <w:pPr>
              <w:pStyle w:val="1011"/>
              <w:rPr>
                <w:rFonts w:eastAsia="Arial"/>
                <w:lang w:eastAsia="en-US"/>
              </w:rPr>
            </w:pPr>
            <w:r>
              <w:rPr>
                <w:rFonts w:eastAsia="Arial"/>
                <w:lang w:eastAsia="en-US"/>
              </w:rPr>
            </w:r>
            <w:r/>
          </w:p>
        </w:tc>
        <w:tc>
          <w:tcPr>
            <w:tcW w:w="659" w:type="dxa"/>
            <w:vAlign w:val="top"/>
            <w:textDirection w:val="lrTb"/>
            <w:noWrap w:val="false"/>
          </w:tcPr>
          <w:p>
            <w:pPr>
              <w:pStyle w:val="1011"/>
              <w:rPr>
                <w:rFonts w:eastAsia="Arial"/>
                <w:lang w:eastAsia="en-US"/>
              </w:rPr>
            </w:pPr>
            <w:r>
              <w:rPr>
                <w:rFonts w:eastAsia="Arial"/>
                <w:lang w:eastAsia="en-US"/>
              </w:rPr>
            </w:r>
            <w:r/>
          </w:p>
        </w:tc>
        <w:tc>
          <w:tcPr>
            <w:tcW w:w="688" w:type="dxa"/>
            <w:vAlign w:val="top"/>
            <w:textDirection w:val="lrTb"/>
            <w:noWrap w:val="false"/>
          </w:tcPr>
          <w:p>
            <w:pPr>
              <w:pStyle w:val="1011"/>
              <w:rPr>
                <w:rFonts w:eastAsia="Arial"/>
                <w:lang w:eastAsia="en-US"/>
              </w:rPr>
            </w:pPr>
            <w:r>
              <w:rPr>
                <w:rFonts w:eastAsia="Arial"/>
                <w:lang w:eastAsia="en-US"/>
              </w:rPr>
            </w:r>
            <w:r/>
          </w:p>
        </w:tc>
        <w:tc>
          <w:tcPr>
            <w:tcW w:w="1347" w:type="dxa"/>
            <w:vAlign w:val="top"/>
            <w:textDirection w:val="lrTb"/>
            <w:noWrap w:val="false"/>
          </w:tcPr>
          <w:p>
            <w:pPr>
              <w:pStyle w:val="1011"/>
              <w:rPr>
                <w:rFonts w:eastAsia="Arial"/>
                <w:lang w:eastAsia="en-US"/>
              </w:rPr>
            </w:pPr>
            <w:r>
              <w:rPr>
                <w:rFonts w:eastAsia="Arial"/>
                <w:lang w:eastAsia="en-US"/>
              </w:rPr>
            </w:r>
            <w:r/>
          </w:p>
        </w:tc>
        <w:tc>
          <w:tcPr>
            <w:tcW w:w="1347" w:type="dxa"/>
            <w:vAlign w:val="top"/>
            <w:textDirection w:val="lrTb"/>
            <w:noWrap w:val="false"/>
          </w:tcPr>
          <w:p>
            <w:pPr>
              <w:pStyle w:val="1011"/>
              <w:rPr>
                <w:rFonts w:eastAsia="Arial"/>
                <w:lang w:eastAsia="en-US"/>
              </w:rPr>
            </w:pPr>
            <w:r>
              <w:rPr>
                <w:rFonts w:eastAsia="Arial"/>
                <w:lang w:eastAsia="en-US"/>
              </w:rPr>
            </w:r>
            <w:r/>
          </w:p>
        </w:tc>
        <w:tc>
          <w:tcPr>
            <w:tcW w:w="585" w:type="dxa"/>
            <w:vAlign w:val="top"/>
            <w:textDirection w:val="lrTb"/>
            <w:noWrap w:val="false"/>
          </w:tcPr>
          <w:p>
            <w:pPr>
              <w:pStyle w:val="1011"/>
              <w:rPr>
                <w:rFonts w:eastAsia="Arial"/>
                <w:lang w:eastAsia="en-US"/>
              </w:rPr>
            </w:pPr>
            <w:r>
              <w:rPr>
                <w:rFonts w:eastAsia="Arial"/>
                <w:lang w:eastAsia="en-US"/>
              </w:rPr>
            </w:r>
            <w:r/>
          </w:p>
        </w:tc>
      </w:tr>
      <w:tr>
        <w:trPr>
          <w:trHeight w:val="471"/>
        </w:trPr>
        <w:tc>
          <w:tcPr>
            <w:tcW w:w="599" w:type="dxa"/>
            <w:vAlign w:val="top"/>
            <w:textDirection w:val="lrTb"/>
            <w:noWrap w:val="false"/>
          </w:tcPr>
          <w:p>
            <w:pPr>
              <w:pStyle w:val="1011"/>
              <w:rPr>
                <w:rFonts w:eastAsia="Arial"/>
                <w:lang w:eastAsia="en-US"/>
              </w:rPr>
            </w:pPr>
            <w:r>
              <w:rPr>
                <w:rFonts w:eastAsia="Arial"/>
                <w:lang w:eastAsia="en-US"/>
              </w:rPr>
            </w:r>
            <w:r/>
          </w:p>
        </w:tc>
        <w:tc>
          <w:tcPr>
            <w:tcW w:w="772" w:type="dxa"/>
            <w:vAlign w:val="top"/>
            <w:textDirection w:val="lrTb"/>
            <w:noWrap w:val="false"/>
          </w:tcPr>
          <w:p>
            <w:pPr>
              <w:pStyle w:val="1011"/>
              <w:rPr>
                <w:rFonts w:eastAsia="Arial"/>
                <w:lang w:eastAsia="en-US"/>
              </w:rPr>
            </w:pPr>
            <w:r>
              <w:rPr>
                <w:rFonts w:eastAsia="Arial"/>
                <w:lang w:eastAsia="en-US"/>
              </w:rPr>
            </w:r>
            <w:r/>
          </w:p>
        </w:tc>
        <w:tc>
          <w:tcPr>
            <w:tcW w:w="748" w:type="dxa"/>
            <w:vAlign w:val="top"/>
            <w:textDirection w:val="lrTb"/>
            <w:noWrap w:val="false"/>
          </w:tcPr>
          <w:p>
            <w:pPr>
              <w:pStyle w:val="1011"/>
              <w:rPr>
                <w:rFonts w:eastAsia="Arial"/>
                <w:lang w:eastAsia="en-US"/>
              </w:rPr>
            </w:pPr>
            <w:r>
              <w:rPr>
                <w:rFonts w:eastAsia="Arial"/>
                <w:lang w:eastAsia="en-US"/>
              </w:rPr>
            </w:r>
            <w:r/>
          </w:p>
        </w:tc>
        <w:tc>
          <w:tcPr>
            <w:tcW w:w="763" w:type="dxa"/>
            <w:vAlign w:val="top"/>
            <w:textDirection w:val="lrTb"/>
            <w:noWrap w:val="false"/>
          </w:tcPr>
          <w:p>
            <w:pPr>
              <w:pStyle w:val="1011"/>
              <w:rPr>
                <w:rFonts w:eastAsia="Arial"/>
                <w:lang w:eastAsia="en-US"/>
              </w:rPr>
            </w:pPr>
            <w:r>
              <w:rPr>
                <w:rFonts w:eastAsia="Arial"/>
                <w:lang w:eastAsia="en-US"/>
              </w:rPr>
            </w:r>
            <w:r/>
          </w:p>
        </w:tc>
        <w:tc>
          <w:tcPr>
            <w:tcW w:w="990" w:type="dxa"/>
            <w:vAlign w:val="top"/>
            <w:textDirection w:val="lrTb"/>
            <w:noWrap w:val="false"/>
          </w:tcPr>
          <w:p>
            <w:pPr>
              <w:pStyle w:val="1011"/>
              <w:rPr>
                <w:rFonts w:eastAsia="Arial"/>
                <w:lang w:eastAsia="en-US"/>
              </w:rPr>
            </w:pPr>
            <w:r>
              <w:rPr>
                <w:rFonts w:eastAsia="Arial"/>
                <w:lang w:eastAsia="en-US"/>
              </w:rPr>
            </w:r>
            <w:r/>
          </w:p>
        </w:tc>
        <w:tc>
          <w:tcPr>
            <w:tcW w:w="1156" w:type="dxa"/>
            <w:vAlign w:val="top"/>
            <w:textDirection w:val="lrTb"/>
            <w:noWrap w:val="false"/>
          </w:tcPr>
          <w:p>
            <w:pPr>
              <w:pStyle w:val="1011"/>
              <w:rPr>
                <w:rFonts w:eastAsia="Arial"/>
                <w:lang w:eastAsia="en-US"/>
              </w:rPr>
            </w:pPr>
            <w:r>
              <w:rPr>
                <w:rFonts w:eastAsia="Arial"/>
                <w:lang w:eastAsia="en-US"/>
              </w:rPr>
            </w:r>
            <w:r/>
          </w:p>
        </w:tc>
        <w:tc>
          <w:tcPr>
            <w:tcW w:w="659" w:type="dxa"/>
            <w:vAlign w:val="top"/>
            <w:textDirection w:val="lrTb"/>
            <w:noWrap w:val="false"/>
          </w:tcPr>
          <w:p>
            <w:pPr>
              <w:pStyle w:val="1011"/>
              <w:rPr>
                <w:rFonts w:eastAsia="Arial"/>
                <w:lang w:eastAsia="en-US"/>
              </w:rPr>
            </w:pPr>
            <w:r>
              <w:rPr>
                <w:rFonts w:eastAsia="Arial"/>
                <w:lang w:eastAsia="en-US"/>
              </w:rPr>
            </w:r>
            <w:r/>
          </w:p>
        </w:tc>
        <w:tc>
          <w:tcPr>
            <w:tcW w:w="688" w:type="dxa"/>
            <w:vAlign w:val="top"/>
            <w:textDirection w:val="lrTb"/>
            <w:noWrap w:val="false"/>
          </w:tcPr>
          <w:p>
            <w:pPr>
              <w:pStyle w:val="1011"/>
              <w:rPr>
                <w:rFonts w:eastAsia="Arial"/>
                <w:lang w:eastAsia="en-US"/>
              </w:rPr>
            </w:pPr>
            <w:r>
              <w:rPr>
                <w:rFonts w:eastAsia="Arial"/>
                <w:lang w:eastAsia="en-US"/>
              </w:rPr>
            </w:r>
            <w:r/>
          </w:p>
        </w:tc>
        <w:tc>
          <w:tcPr>
            <w:tcW w:w="1347" w:type="dxa"/>
            <w:vAlign w:val="top"/>
            <w:textDirection w:val="lrTb"/>
            <w:noWrap w:val="false"/>
          </w:tcPr>
          <w:p>
            <w:pPr>
              <w:pStyle w:val="1011"/>
              <w:rPr>
                <w:rFonts w:eastAsia="Arial"/>
                <w:lang w:eastAsia="en-US"/>
              </w:rPr>
            </w:pPr>
            <w:r>
              <w:rPr>
                <w:rFonts w:eastAsia="Arial"/>
                <w:lang w:eastAsia="en-US"/>
              </w:rPr>
            </w:r>
            <w:r/>
          </w:p>
        </w:tc>
        <w:tc>
          <w:tcPr>
            <w:tcW w:w="1347" w:type="dxa"/>
            <w:vAlign w:val="top"/>
            <w:textDirection w:val="lrTb"/>
            <w:noWrap w:val="false"/>
          </w:tcPr>
          <w:p>
            <w:pPr>
              <w:pStyle w:val="1011"/>
              <w:rPr>
                <w:rFonts w:eastAsia="Arial"/>
                <w:lang w:eastAsia="en-US"/>
              </w:rPr>
            </w:pPr>
            <w:r>
              <w:rPr>
                <w:rFonts w:eastAsia="Arial"/>
                <w:lang w:eastAsia="en-US"/>
              </w:rPr>
            </w:r>
            <w:r/>
          </w:p>
        </w:tc>
        <w:tc>
          <w:tcPr>
            <w:tcW w:w="585" w:type="dxa"/>
            <w:vAlign w:val="top"/>
            <w:textDirection w:val="lrTb"/>
            <w:noWrap w:val="false"/>
          </w:tcPr>
          <w:p>
            <w:pPr>
              <w:pStyle w:val="1011"/>
              <w:rPr>
                <w:rFonts w:eastAsia="Arial"/>
                <w:lang w:eastAsia="en-US"/>
              </w:rPr>
            </w:pPr>
            <w:r>
              <w:rPr>
                <w:rFonts w:eastAsia="Arial"/>
                <w:lang w:eastAsia="en-US"/>
              </w:rPr>
            </w:r>
            <w:r/>
          </w:p>
        </w:tc>
      </w:tr>
      <w:tr>
        <w:trPr>
          <w:trHeight w:val="469"/>
        </w:trPr>
        <w:tc>
          <w:tcPr>
            <w:tcW w:w="599" w:type="dxa"/>
            <w:vAlign w:val="top"/>
            <w:textDirection w:val="lrTb"/>
            <w:noWrap w:val="false"/>
          </w:tcPr>
          <w:p>
            <w:pPr>
              <w:pStyle w:val="1011"/>
              <w:rPr>
                <w:rFonts w:eastAsia="Arial"/>
                <w:lang w:eastAsia="en-US"/>
              </w:rPr>
            </w:pPr>
            <w:r>
              <w:rPr>
                <w:rFonts w:eastAsia="Arial"/>
                <w:lang w:eastAsia="en-US"/>
              </w:rPr>
            </w:r>
            <w:r/>
          </w:p>
        </w:tc>
        <w:tc>
          <w:tcPr>
            <w:tcW w:w="772" w:type="dxa"/>
            <w:vAlign w:val="top"/>
            <w:textDirection w:val="lrTb"/>
            <w:noWrap w:val="false"/>
          </w:tcPr>
          <w:p>
            <w:pPr>
              <w:pStyle w:val="1011"/>
              <w:rPr>
                <w:rFonts w:eastAsia="Arial"/>
                <w:lang w:eastAsia="en-US"/>
              </w:rPr>
            </w:pPr>
            <w:r>
              <w:rPr>
                <w:rFonts w:eastAsia="Arial"/>
                <w:lang w:eastAsia="en-US"/>
              </w:rPr>
            </w:r>
            <w:r/>
          </w:p>
        </w:tc>
        <w:tc>
          <w:tcPr>
            <w:tcW w:w="748" w:type="dxa"/>
            <w:vAlign w:val="top"/>
            <w:textDirection w:val="lrTb"/>
            <w:noWrap w:val="false"/>
          </w:tcPr>
          <w:p>
            <w:pPr>
              <w:pStyle w:val="1011"/>
              <w:rPr>
                <w:rFonts w:eastAsia="Arial"/>
                <w:lang w:eastAsia="en-US"/>
              </w:rPr>
            </w:pPr>
            <w:r>
              <w:rPr>
                <w:rFonts w:eastAsia="Arial"/>
                <w:lang w:eastAsia="en-US"/>
              </w:rPr>
            </w:r>
            <w:r/>
          </w:p>
        </w:tc>
        <w:tc>
          <w:tcPr>
            <w:tcW w:w="763" w:type="dxa"/>
            <w:vAlign w:val="top"/>
            <w:textDirection w:val="lrTb"/>
            <w:noWrap w:val="false"/>
          </w:tcPr>
          <w:p>
            <w:pPr>
              <w:pStyle w:val="1011"/>
              <w:rPr>
                <w:rFonts w:eastAsia="Arial"/>
                <w:lang w:eastAsia="en-US"/>
              </w:rPr>
            </w:pPr>
            <w:r>
              <w:rPr>
                <w:rFonts w:eastAsia="Arial"/>
                <w:lang w:eastAsia="en-US"/>
              </w:rPr>
            </w:r>
            <w:r/>
          </w:p>
        </w:tc>
        <w:tc>
          <w:tcPr>
            <w:tcW w:w="990" w:type="dxa"/>
            <w:vAlign w:val="top"/>
            <w:textDirection w:val="lrTb"/>
            <w:noWrap w:val="false"/>
          </w:tcPr>
          <w:p>
            <w:pPr>
              <w:pStyle w:val="1011"/>
              <w:rPr>
                <w:rFonts w:eastAsia="Arial"/>
                <w:lang w:eastAsia="en-US"/>
              </w:rPr>
            </w:pPr>
            <w:r>
              <w:rPr>
                <w:rFonts w:eastAsia="Arial"/>
                <w:lang w:eastAsia="en-US"/>
              </w:rPr>
            </w:r>
            <w:r/>
          </w:p>
        </w:tc>
        <w:tc>
          <w:tcPr>
            <w:tcW w:w="1156" w:type="dxa"/>
            <w:vAlign w:val="top"/>
            <w:textDirection w:val="lrTb"/>
            <w:noWrap w:val="false"/>
          </w:tcPr>
          <w:p>
            <w:pPr>
              <w:pStyle w:val="1011"/>
              <w:rPr>
                <w:rFonts w:eastAsia="Arial"/>
                <w:lang w:eastAsia="en-US"/>
              </w:rPr>
            </w:pPr>
            <w:r>
              <w:rPr>
                <w:rFonts w:eastAsia="Arial"/>
                <w:lang w:eastAsia="en-US"/>
              </w:rPr>
            </w:r>
            <w:r/>
          </w:p>
        </w:tc>
        <w:tc>
          <w:tcPr>
            <w:tcW w:w="659" w:type="dxa"/>
            <w:vAlign w:val="top"/>
            <w:textDirection w:val="lrTb"/>
            <w:noWrap w:val="false"/>
          </w:tcPr>
          <w:p>
            <w:pPr>
              <w:pStyle w:val="1011"/>
              <w:rPr>
                <w:rFonts w:eastAsia="Arial"/>
                <w:lang w:eastAsia="en-US"/>
              </w:rPr>
            </w:pPr>
            <w:r>
              <w:rPr>
                <w:rFonts w:eastAsia="Arial"/>
                <w:lang w:eastAsia="en-US"/>
              </w:rPr>
            </w:r>
            <w:r/>
          </w:p>
        </w:tc>
        <w:tc>
          <w:tcPr>
            <w:tcW w:w="688" w:type="dxa"/>
            <w:vAlign w:val="top"/>
            <w:textDirection w:val="lrTb"/>
            <w:noWrap w:val="false"/>
          </w:tcPr>
          <w:p>
            <w:pPr>
              <w:pStyle w:val="1011"/>
              <w:rPr>
                <w:rFonts w:eastAsia="Arial"/>
                <w:lang w:eastAsia="en-US"/>
              </w:rPr>
            </w:pPr>
            <w:r>
              <w:rPr>
                <w:rFonts w:eastAsia="Arial"/>
                <w:lang w:eastAsia="en-US"/>
              </w:rPr>
            </w:r>
            <w:r/>
          </w:p>
        </w:tc>
        <w:tc>
          <w:tcPr>
            <w:tcW w:w="1347" w:type="dxa"/>
            <w:vAlign w:val="top"/>
            <w:textDirection w:val="lrTb"/>
            <w:noWrap w:val="false"/>
          </w:tcPr>
          <w:p>
            <w:pPr>
              <w:pStyle w:val="1011"/>
              <w:rPr>
                <w:rFonts w:eastAsia="Arial"/>
                <w:lang w:eastAsia="en-US"/>
              </w:rPr>
            </w:pPr>
            <w:r>
              <w:rPr>
                <w:rFonts w:eastAsia="Arial"/>
                <w:lang w:eastAsia="en-US"/>
              </w:rPr>
            </w:r>
            <w:r/>
          </w:p>
        </w:tc>
        <w:tc>
          <w:tcPr>
            <w:tcW w:w="1347" w:type="dxa"/>
            <w:vAlign w:val="top"/>
            <w:textDirection w:val="lrTb"/>
            <w:noWrap w:val="false"/>
          </w:tcPr>
          <w:p>
            <w:pPr>
              <w:pStyle w:val="1011"/>
              <w:rPr>
                <w:rFonts w:eastAsia="Arial"/>
                <w:lang w:eastAsia="en-US"/>
              </w:rPr>
            </w:pPr>
            <w:r>
              <w:rPr>
                <w:rFonts w:eastAsia="Arial"/>
                <w:lang w:eastAsia="en-US"/>
              </w:rPr>
            </w:r>
            <w:r/>
          </w:p>
        </w:tc>
        <w:tc>
          <w:tcPr>
            <w:tcW w:w="585" w:type="dxa"/>
            <w:vAlign w:val="top"/>
            <w:textDirection w:val="lrTb"/>
            <w:noWrap w:val="false"/>
          </w:tcPr>
          <w:p>
            <w:pPr>
              <w:pStyle w:val="1011"/>
              <w:rPr>
                <w:rFonts w:eastAsia="Arial"/>
                <w:lang w:eastAsia="en-US"/>
              </w:rPr>
            </w:pPr>
            <w:r>
              <w:rPr>
                <w:rFonts w:eastAsia="Arial"/>
                <w:lang w:eastAsia="en-US"/>
              </w:rPr>
            </w:r>
            <w:r/>
          </w:p>
        </w:tc>
      </w:tr>
      <w:tr>
        <w:trPr>
          <w:trHeight w:val="471"/>
        </w:trPr>
        <w:tc>
          <w:tcPr>
            <w:tcW w:w="599" w:type="dxa"/>
            <w:vAlign w:val="top"/>
            <w:textDirection w:val="lrTb"/>
            <w:noWrap w:val="false"/>
          </w:tcPr>
          <w:p>
            <w:pPr>
              <w:pStyle w:val="1011"/>
              <w:rPr>
                <w:rFonts w:eastAsia="Arial"/>
                <w:lang w:eastAsia="en-US"/>
              </w:rPr>
            </w:pPr>
            <w:r>
              <w:rPr>
                <w:rFonts w:eastAsia="Arial"/>
                <w:lang w:eastAsia="en-US"/>
              </w:rPr>
            </w:r>
            <w:r/>
          </w:p>
        </w:tc>
        <w:tc>
          <w:tcPr>
            <w:tcW w:w="772" w:type="dxa"/>
            <w:vAlign w:val="top"/>
            <w:textDirection w:val="lrTb"/>
            <w:noWrap w:val="false"/>
          </w:tcPr>
          <w:p>
            <w:pPr>
              <w:pStyle w:val="1011"/>
              <w:rPr>
                <w:rFonts w:eastAsia="Arial"/>
                <w:lang w:eastAsia="en-US"/>
              </w:rPr>
            </w:pPr>
            <w:r>
              <w:rPr>
                <w:rFonts w:eastAsia="Arial"/>
                <w:lang w:eastAsia="en-US"/>
              </w:rPr>
            </w:r>
            <w:r/>
          </w:p>
        </w:tc>
        <w:tc>
          <w:tcPr>
            <w:tcW w:w="748" w:type="dxa"/>
            <w:vAlign w:val="top"/>
            <w:textDirection w:val="lrTb"/>
            <w:noWrap w:val="false"/>
          </w:tcPr>
          <w:p>
            <w:pPr>
              <w:pStyle w:val="1011"/>
              <w:rPr>
                <w:rFonts w:eastAsia="Arial"/>
                <w:lang w:eastAsia="en-US"/>
              </w:rPr>
            </w:pPr>
            <w:r>
              <w:rPr>
                <w:rFonts w:eastAsia="Arial"/>
                <w:lang w:eastAsia="en-US"/>
              </w:rPr>
            </w:r>
            <w:r/>
          </w:p>
        </w:tc>
        <w:tc>
          <w:tcPr>
            <w:tcW w:w="763" w:type="dxa"/>
            <w:vAlign w:val="top"/>
            <w:textDirection w:val="lrTb"/>
            <w:noWrap w:val="false"/>
          </w:tcPr>
          <w:p>
            <w:pPr>
              <w:pStyle w:val="1011"/>
              <w:rPr>
                <w:rFonts w:eastAsia="Arial"/>
                <w:lang w:eastAsia="en-US"/>
              </w:rPr>
            </w:pPr>
            <w:r>
              <w:rPr>
                <w:rFonts w:eastAsia="Arial"/>
                <w:lang w:eastAsia="en-US"/>
              </w:rPr>
            </w:r>
            <w:r/>
          </w:p>
        </w:tc>
        <w:tc>
          <w:tcPr>
            <w:tcW w:w="990" w:type="dxa"/>
            <w:vAlign w:val="top"/>
            <w:textDirection w:val="lrTb"/>
            <w:noWrap w:val="false"/>
          </w:tcPr>
          <w:p>
            <w:pPr>
              <w:pStyle w:val="1011"/>
              <w:rPr>
                <w:rFonts w:eastAsia="Arial"/>
                <w:lang w:eastAsia="en-US"/>
              </w:rPr>
            </w:pPr>
            <w:r>
              <w:rPr>
                <w:rFonts w:eastAsia="Arial"/>
                <w:lang w:eastAsia="en-US"/>
              </w:rPr>
            </w:r>
            <w:r/>
          </w:p>
        </w:tc>
        <w:tc>
          <w:tcPr>
            <w:tcW w:w="1156" w:type="dxa"/>
            <w:vAlign w:val="top"/>
            <w:textDirection w:val="lrTb"/>
            <w:noWrap w:val="false"/>
          </w:tcPr>
          <w:p>
            <w:pPr>
              <w:pStyle w:val="1011"/>
              <w:rPr>
                <w:rFonts w:eastAsia="Arial"/>
                <w:lang w:eastAsia="en-US"/>
              </w:rPr>
            </w:pPr>
            <w:r>
              <w:rPr>
                <w:rFonts w:eastAsia="Arial"/>
                <w:lang w:eastAsia="en-US"/>
              </w:rPr>
            </w:r>
            <w:r/>
          </w:p>
        </w:tc>
        <w:tc>
          <w:tcPr>
            <w:tcW w:w="659" w:type="dxa"/>
            <w:vAlign w:val="top"/>
            <w:textDirection w:val="lrTb"/>
            <w:noWrap w:val="false"/>
          </w:tcPr>
          <w:p>
            <w:pPr>
              <w:pStyle w:val="1011"/>
              <w:rPr>
                <w:rFonts w:eastAsia="Arial"/>
                <w:lang w:eastAsia="en-US"/>
              </w:rPr>
            </w:pPr>
            <w:r>
              <w:rPr>
                <w:rFonts w:eastAsia="Arial"/>
                <w:lang w:eastAsia="en-US"/>
              </w:rPr>
            </w:r>
            <w:r/>
          </w:p>
        </w:tc>
        <w:tc>
          <w:tcPr>
            <w:tcW w:w="688" w:type="dxa"/>
            <w:vAlign w:val="top"/>
            <w:textDirection w:val="lrTb"/>
            <w:noWrap w:val="false"/>
          </w:tcPr>
          <w:p>
            <w:pPr>
              <w:pStyle w:val="1011"/>
              <w:rPr>
                <w:rFonts w:eastAsia="Arial"/>
                <w:lang w:eastAsia="en-US"/>
              </w:rPr>
            </w:pPr>
            <w:r>
              <w:rPr>
                <w:rFonts w:eastAsia="Arial"/>
                <w:lang w:eastAsia="en-US"/>
              </w:rPr>
            </w:r>
            <w:r/>
          </w:p>
        </w:tc>
        <w:tc>
          <w:tcPr>
            <w:tcW w:w="1347" w:type="dxa"/>
            <w:vAlign w:val="top"/>
            <w:textDirection w:val="lrTb"/>
            <w:noWrap w:val="false"/>
          </w:tcPr>
          <w:p>
            <w:pPr>
              <w:pStyle w:val="1011"/>
              <w:rPr>
                <w:rFonts w:eastAsia="Arial"/>
                <w:lang w:eastAsia="en-US"/>
              </w:rPr>
            </w:pPr>
            <w:r>
              <w:rPr>
                <w:rFonts w:eastAsia="Arial"/>
                <w:lang w:eastAsia="en-US"/>
              </w:rPr>
            </w:r>
            <w:r/>
          </w:p>
        </w:tc>
        <w:tc>
          <w:tcPr>
            <w:tcW w:w="1347" w:type="dxa"/>
            <w:vAlign w:val="top"/>
            <w:textDirection w:val="lrTb"/>
            <w:noWrap w:val="false"/>
          </w:tcPr>
          <w:p>
            <w:pPr>
              <w:pStyle w:val="1011"/>
              <w:rPr>
                <w:rFonts w:eastAsia="Arial"/>
                <w:lang w:eastAsia="en-US"/>
              </w:rPr>
            </w:pPr>
            <w:r>
              <w:rPr>
                <w:rFonts w:eastAsia="Arial"/>
                <w:lang w:eastAsia="en-US"/>
              </w:rPr>
            </w:r>
            <w:r/>
          </w:p>
        </w:tc>
        <w:tc>
          <w:tcPr>
            <w:tcW w:w="585" w:type="dxa"/>
            <w:vAlign w:val="top"/>
            <w:textDirection w:val="lrTb"/>
            <w:noWrap w:val="false"/>
          </w:tcPr>
          <w:p>
            <w:pPr>
              <w:pStyle w:val="1011"/>
              <w:rPr>
                <w:rFonts w:eastAsia="Arial"/>
                <w:lang w:eastAsia="en-US"/>
              </w:rPr>
            </w:pPr>
            <w:r>
              <w:rPr>
                <w:rFonts w:eastAsia="Arial"/>
                <w:lang w:eastAsia="en-US"/>
              </w:rPr>
            </w:r>
            <w:r/>
          </w:p>
        </w:tc>
      </w:tr>
      <w:tr>
        <w:trPr>
          <w:trHeight w:val="472"/>
        </w:trPr>
        <w:tc>
          <w:tcPr>
            <w:tcW w:w="599" w:type="dxa"/>
            <w:vAlign w:val="top"/>
            <w:textDirection w:val="lrTb"/>
            <w:noWrap w:val="false"/>
          </w:tcPr>
          <w:p>
            <w:pPr>
              <w:pStyle w:val="1011"/>
              <w:rPr>
                <w:rFonts w:eastAsia="Arial"/>
                <w:lang w:eastAsia="en-US"/>
              </w:rPr>
            </w:pPr>
            <w:r>
              <w:rPr>
                <w:rFonts w:eastAsia="Arial"/>
                <w:lang w:eastAsia="en-US"/>
              </w:rPr>
            </w:r>
            <w:r/>
          </w:p>
        </w:tc>
        <w:tc>
          <w:tcPr>
            <w:tcW w:w="772" w:type="dxa"/>
            <w:vAlign w:val="top"/>
            <w:textDirection w:val="lrTb"/>
            <w:noWrap w:val="false"/>
          </w:tcPr>
          <w:p>
            <w:pPr>
              <w:pStyle w:val="1011"/>
              <w:rPr>
                <w:rFonts w:eastAsia="Arial"/>
                <w:lang w:eastAsia="en-US"/>
              </w:rPr>
            </w:pPr>
            <w:r>
              <w:rPr>
                <w:rFonts w:eastAsia="Arial"/>
                <w:lang w:eastAsia="en-US"/>
              </w:rPr>
            </w:r>
            <w:r/>
          </w:p>
        </w:tc>
        <w:tc>
          <w:tcPr>
            <w:tcW w:w="748" w:type="dxa"/>
            <w:vAlign w:val="top"/>
            <w:textDirection w:val="lrTb"/>
            <w:noWrap w:val="false"/>
          </w:tcPr>
          <w:p>
            <w:pPr>
              <w:pStyle w:val="1011"/>
              <w:rPr>
                <w:rFonts w:eastAsia="Arial"/>
                <w:lang w:eastAsia="en-US"/>
              </w:rPr>
            </w:pPr>
            <w:r>
              <w:rPr>
                <w:rFonts w:eastAsia="Arial"/>
                <w:lang w:eastAsia="en-US"/>
              </w:rPr>
            </w:r>
            <w:r/>
          </w:p>
        </w:tc>
        <w:tc>
          <w:tcPr>
            <w:tcW w:w="763" w:type="dxa"/>
            <w:vAlign w:val="top"/>
            <w:textDirection w:val="lrTb"/>
            <w:noWrap w:val="false"/>
          </w:tcPr>
          <w:p>
            <w:pPr>
              <w:pStyle w:val="1011"/>
              <w:rPr>
                <w:rFonts w:eastAsia="Arial"/>
                <w:lang w:eastAsia="en-US"/>
              </w:rPr>
            </w:pPr>
            <w:r>
              <w:rPr>
                <w:rFonts w:eastAsia="Arial"/>
                <w:lang w:eastAsia="en-US"/>
              </w:rPr>
            </w:r>
            <w:r/>
          </w:p>
        </w:tc>
        <w:tc>
          <w:tcPr>
            <w:tcW w:w="990" w:type="dxa"/>
            <w:vAlign w:val="top"/>
            <w:textDirection w:val="lrTb"/>
            <w:noWrap w:val="false"/>
          </w:tcPr>
          <w:p>
            <w:pPr>
              <w:pStyle w:val="1011"/>
              <w:rPr>
                <w:rFonts w:eastAsia="Arial"/>
                <w:lang w:eastAsia="en-US"/>
              </w:rPr>
            </w:pPr>
            <w:r>
              <w:rPr>
                <w:rFonts w:eastAsia="Arial"/>
                <w:lang w:eastAsia="en-US"/>
              </w:rPr>
            </w:r>
            <w:r/>
          </w:p>
        </w:tc>
        <w:tc>
          <w:tcPr>
            <w:tcW w:w="1156" w:type="dxa"/>
            <w:vAlign w:val="top"/>
            <w:textDirection w:val="lrTb"/>
            <w:noWrap w:val="false"/>
          </w:tcPr>
          <w:p>
            <w:pPr>
              <w:pStyle w:val="1011"/>
              <w:rPr>
                <w:rFonts w:eastAsia="Arial"/>
                <w:lang w:eastAsia="en-US"/>
              </w:rPr>
            </w:pPr>
            <w:r>
              <w:rPr>
                <w:rFonts w:eastAsia="Arial"/>
                <w:lang w:eastAsia="en-US"/>
              </w:rPr>
            </w:r>
            <w:r/>
          </w:p>
        </w:tc>
        <w:tc>
          <w:tcPr>
            <w:tcW w:w="659" w:type="dxa"/>
            <w:vAlign w:val="top"/>
            <w:textDirection w:val="lrTb"/>
            <w:noWrap w:val="false"/>
          </w:tcPr>
          <w:p>
            <w:pPr>
              <w:pStyle w:val="1011"/>
              <w:rPr>
                <w:rFonts w:eastAsia="Arial"/>
                <w:lang w:eastAsia="en-US"/>
              </w:rPr>
            </w:pPr>
            <w:r>
              <w:rPr>
                <w:rFonts w:eastAsia="Arial"/>
                <w:lang w:eastAsia="en-US"/>
              </w:rPr>
            </w:r>
            <w:r/>
          </w:p>
        </w:tc>
        <w:tc>
          <w:tcPr>
            <w:tcW w:w="688" w:type="dxa"/>
            <w:vAlign w:val="top"/>
            <w:textDirection w:val="lrTb"/>
            <w:noWrap w:val="false"/>
          </w:tcPr>
          <w:p>
            <w:pPr>
              <w:pStyle w:val="1011"/>
              <w:rPr>
                <w:rFonts w:eastAsia="Arial"/>
                <w:lang w:eastAsia="en-US"/>
              </w:rPr>
            </w:pPr>
            <w:r>
              <w:rPr>
                <w:rFonts w:eastAsia="Arial"/>
                <w:lang w:eastAsia="en-US"/>
              </w:rPr>
            </w:r>
            <w:r/>
          </w:p>
        </w:tc>
        <w:tc>
          <w:tcPr>
            <w:tcW w:w="1347" w:type="dxa"/>
            <w:vAlign w:val="top"/>
            <w:textDirection w:val="lrTb"/>
            <w:noWrap w:val="false"/>
          </w:tcPr>
          <w:p>
            <w:pPr>
              <w:pStyle w:val="1011"/>
              <w:rPr>
                <w:rFonts w:eastAsia="Arial"/>
                <w:lang w:eastAsia="en-US"/>
              </w:rPr>
            </w:pPr>
            <w:r>
              <w:rPr>
                <w:rFonts w:eastAsia="Arial"/>
                <w:lang w:eastAsia="en-US"/>
              </w:rPr>
            </w:r>
            <w:r/>
          </w:p>
        </w:tc>
        <w:tc>
          <w:tcPr>
            <w:tcW w:w="1347" w:type="dxa"/>
            <w:vAlign w:val="top"/>
            <w:textDirection w:val="lrTb"/>
            <w:noWrap w:val="false"/>
          </w:tcPr>
          <w:p>
            <w:pPr>
              <w:pStyle w:val="1011"/>
              <w:rPr>
                <w:rFonts w:eastAsia="Arial"/>
                <w:lang w:eastAsia="en-US"/>
              </w:rPr>
            </w:pPr>
            <w:r>
              <w:rPr>
                <w:rFonts w:eastAsia="Arial"/>
                <w:lang w:eastAsia="en-US"/>
              </w:rPr>
            </w:r>
            <w:r/>
          </w:p>
        </w:tc>
        <w:tc>
          <w:tcPr>
            <w:tcW w:w="585" w:type="dxa"/>
            <w:vAlign w:val="top"/>
            <w:textDirection w:val="lrTb"/>
            <w:noWrap w:val="false"/>
          </w:tcPr>
          <w:p>
            <w:pPr>
              <w:pStyle w:val="1011"/>
              <w:rPr>
                <w:rFonts w:eastAsia="Arial"/>
                <w:lang w:eastAsia="en-US"/>
              </w:rPr>
            </w:pPr>
            <w:r>
              <w:rPr>
                <w:rFonts w:eastAsia="Arial"/>
                <w:lang w:eastAsia="en-US"/>
              </w:rPr>
            </w:r>
            <w:r/>
          </w:p>
        </w:tc>
      </w:tr>
      <w:tr>
        <w:trPr>
          <w:trHeight w:val="471"/>
        </w:trPr>
        <w:tc>
          <w:tcPr>
            <w:tcW w:w="599" w:type="dxa"/>
            <w:vAlign w:val="top"/>
            <w:textDirection w:val="lrTb"/>
            <w:noWrap w:val="false"/>
          </w:tcPr>
          <w:p>
            <w:pPr>
              <w:pStyle w:val="1011"/>
              <w:rPr>
                <w:rFonts w:eastAsia="Arial"/>
                <w:lang w:eastAsia="en-US"/>
              </w:rPr>
            </w:pPr>
            <w:r>
              <w:rPr>
                <w:rFonts w:eastAsia="Arial"/>
                <w:lang w:eastAsia="en-US"/>
              </w:rPr>
            </w:r>
            <w:r/>
          </w:p>
        </w:tc>
        <w:tc>
          <w:tcPr>
            <w:tcW w:w="772" w:type="dxa"/>
            <w:vAlign w:val="top"/>
            <w:textDirection w:val="lrTb"/>
            <w:noWrap w:val="false"/>
          </w:tcPr>
          <w:p>
            <w:pPr>
              <w:pStyle w:val="1011"/>
              <w:rPr>
                <w:rFonts w:eastAsia="Arial"/>
                <w:lang w:eastAsia="en-US"/>
              </w:rPr>
            </w:pPr>
            <w:r>
              <w:rPr>
                <w:rFonts w:eastAsia="Arial"/>
                <w:lang w:eastAsia="en-US"/>
              </w:rPr>
            </w:r>
            <w:r/>
          </w:p>
        </w:tc>
        <w:tc>
          <w:tcPr>
            <w:tcW w:w="748" w:type="dxa"/>
            <w:vAlign w:val="top"/>
            <w:textDirection w:val="lrTb"/>
            <w:noWrap w:val="false"/>
          </w:tcPr>
          <w:p>
            <w:pPr>
              <w:pStyle w:val="1011"/>
              <w:rPr>
                <w:rFonts w:eastAsia="Arial"/>
                <w:lang w:eastAsia="en-US"/>
              </w:rPr>
            </w:pPr>
            <w:r>
              <w:rPr>
                <w:rFonts w:eastAsia="Arial"/>
                <w:lang w:eastAsia="en-US"/>
              </w:rPr>
            </w:r>
            <w:r/>
          </w:p>
        </w:tc>
        <w:tc>
          <w:tcPr>
            <w:tcW w:w="763" w:type="dxa"/>
            <w:vAlign w:val="top"/>
            <w:textDirection w:val="lrTb"/>
            <w:noWrap w:val="false"/>
          </w:tcPr>
          <w:p>
            <w:pPr>
              <w:pStyle w:val="1011"/>
              <w:rPr>
                <w:rFonts w:eastAsia="Arial"/>
                <w:lang w:eastAsia="en-US"/>
              </w:rPr>
            </w:pPr>
            <w:r>
              <w:rPr>
                <w:rFonts w:eastAsia="Arial"/>
                <w:lang w:eastAsia="en-US"/>
              </w:rPr>
            </w:r>
            <w:r/>
          </w:p>
        </w:tc>
        <w:tc>
          <w:tcPr>
            <w:tcW w:w="990" w:type="dxa"/>
            <w:vAlign w:val="top"/>
            <w:textDirection w:val="lrTb"/>
            <w:noWrap w:val="false"/>
          </w:tcPr>
          <w:p>
            <w:pPr>
              <w:pStyle w:val="1011"/>
              <w:rPr>
                <w:rFonts w:eastAsia="Arial"/>
                <w:lang w:eastAsia="en-US"/>
              </w:rPr>
            </w:pPr>
            <w:r>
              <w:rPr>
                <w:rFonts w:eastAsia="Arial"/>
                <w:lang w:eastAsia="en-US"/>
              </w:rPr>
            </w:r>
            <w:r/>
          </w:p>
        </w:tc>
        <w:tc>
          <w:tcPr>
            <w:tcW w:w="1156" w:type="dxa"/>
            <w:vAlign w:val="top"/>
            <w:textDirection w:val="lrTb"/>
            <w:noWrap w:val="false"/>
          </w:tcPr>
          <w:p>
            <w:pPr>
              <w:pStyle w:val="1011"/>
              <w:rPr>
                <w:rFonts w:eastAsia="Arial"/>
                <w:lang w:eastAsia="en-US"/>
              </w:rPr>
            </w:pPr>
            <w:r>
              <w:rPr>
                <w:rFonts w:eastAsia="Arial"/>
                <w:lang w:eastAsia="en-US"/>
              </w:rPr>
            </w:r>
            <w:r/>
          </w:p>
        </w:tc>
        <w:tc>
          <w:tcPr>
            <w:tcW w:w="659" w:type="dxa"/>
            <w:vAlign w:val="top"/>
            <w:textDirection w:val="lrTb"/>
            <w:noWrap w:val="false"/>
          </w:tcPr>
          <w:p>
            <w:pPr>
              <w:pStyle w:val="1011"/>
              <w:rPr>
                <w:rFonts w:eastAsia="Arial"/>
                <w:lang w:eastAsia="en-US"/>
              </w:rPr>
            </w:pPr>
            <w:r>
              <w:rPr>
                <w:rFonts w:eastAsia="Arial"/>
                <w:lang w:eastAsia="en-US"/>
              </w:rPr>
            </w:r>
            <w:r/>
          </w:p>
        </w:tc>
        <w:tc>
          <w:tcPr>
            <w:tcW w:w="688" w:type="dxa"/>
            <w:vAlign w:val="top"/>
            <w:textDirection w:val="lrTb"/>
            <w:noWrap w:val="false"/>
          </w:tcPr>
          <w:p>
            <w:pPr>
              <w:pStyle w:val="1011"/>
              <w:rPr>
                <w:rFonts w:eastAsia="Arial"/>
                <w:lang w:eastAsia="en-US"/>
              </w:rPr>
            </w:pPr>
            <w:r>
              <w:rPr>
                <w:rFonts w:eastAsia="Arial"/>
                <w:lang w:eastAsia="en-US"/>
              </w:rPr>
            </w:r>
            <w:r/>
          </w:p>
        </w:tc>
        <w:tc>
          <w:tcPr>
            <w:tcW w:w="1347" w:type="dxa"/>
            <w:vAlign w:val="top"/>
            <w:textDirection w:val="lrTb"/>
            <w:noWrap w:val="false"/>
          </w:tcPr>
          <w:p>
            <w:pPr>
              <w:pStyle w:val="1011"/>
              <w:rPr>
                <w:rFonts w:eastAsia="Arial"/>
                <w:lang w:eastAsia="en-US"/>
              </w:rPr>
            </w:pPr>
            <w:r>
              <w:rPr>
                <w:rFonts w:eastAsia="Arial"/>
                <w:lang w:eastAsia="en-US"/>
              </w:rPr>
            </w:r>
            <w:r/>
          </w:p>
        </w:tc>
        <w:tc>
          <w:tcPr>
            <w:tcW w:w="1347" w:type="dxa"/>
            <w:vAlign w:val="top"/>
            <w:textDirection w:val="lrTb"/>
            <w:noWrap w:val="false"/>
          </w:tcPr>
          <w:p>
            <w:pPr>
              <w:pStyle w:val="1011"/>
              <w:rPr>
                <w:rFonts w:eastAsia="Arial"/>
                <w:lang w:eastAsia="en-US"/>
              </w:rPr>
            </w:pPr>
            <w:r>
              <w:rPr>
                <w:rFonts w:eastAsia="Arial"/>
                <w:lang w:eastAsia="en-US"/>
              </w:rPr>
            </w:r>
            <w:r/>
          </w:p>
        </w:tc>
        <w:tc>
          <w:tcPr>
            <w:tcW w:w="585" w:type="dxa"/>
            <w:vAlign w:val="top"/>
            <w:textDirection w:val="lrTb"/>
            <w:noWrap w:val="false"/>
          </w:tcPr>
          <w:p>
            <w:pPr>
              <w:pStyle w:val="1011"/>
              <w:rPr>
                <w:rFonts w:eastAsia="Arial"/>
                <w:lang w:eastAsia="en-US"/>
              </w:rPr>
            </w:pPr>
            <w:r>
              <w:rPr>
                <w:rFonts w:eastAsia="Arial"/>
                <w:lang w:eastAsia="en-US"/>
              </w:rPr>
            </w:r>
            <w:r/>
          </w:p>
        </w:tc>
      </w:tr>
      <w:tr>
        <w:trPr>
          <w:trHeight w:val="469"/>
        </w:trPr>
        <w:tc>
          <w:tcPr>
            <w:tcW w:w="599" w:type="dxa"/>
            <w:vAlign w:val="top"/>
            <w:textDirection w:val="lrTb"/>
            <w:noWrap w:val="false"/>
          </w:tcPr>
          <w:p>
            <w:pPr>
              <w:pStyle w:val="1011"/>
              <w:rPr>
                <w:rFonts w:eastAsia="Arial"/>
                <w:lang w:eastAsia="en-US"/>
              </w:rPr>
            </w:pPr>
            <w:r>
              <w:rPr>
                <w:rFonts w:eastAsia="Arial"/>
                <w:lang w:eastAsia="en-US"/>
              </w:rPr>
            </w:r>
            <w:r/>
          </w:p>
        </w:tc>
        <w:tc>
          <w:tcPr>
            <w:tcW w:w="772" w:type="dxa"/>
            <w:vAlign w:val="top"/>
            <w:textDirection w:val="lrTb"/>
            <w:noWrap w:val="false"/>
          </w:tcPr>
          <w:p>
            <w:pPr>
              <w:pStyle w:val="1011"/>
              <w:rPr>
                <w:rFonts w:eastAsia="Arial"/>
                <w:lang w:eastAsia="en-US"/>
              </w:rPr>
            </w:pPr>
            <w:r>
              <w:rPr>
                <w:rFonts w:eastAsia="Arial"/>
                <w:lang w:eastAsia="en-US"/>
              </w:rPr>
            </w:r>
            <w:r/>
          </w:p>
        </w:tc>
        <w:tc>
          <w:tcPr>
            <w:tcW w:w="748" w:type="dxa"/>
            <w:vAlign w:val="top"/>
            <w:textDirection w:val="lrTb"/>
            <w:noWrap w:val="false"/>
          </w:tcPr>
          <w:p>
            <w:pPr>
              <w:pStyle w:val="1011"/>
              <w:rPr>
                <w:rFonts w:eastAsia="Arial"/>
                <w:lang w:eastAsia="en-US"/>
              </w:rPr>
            </w:pPr>
            <w:r>
              <w:rPr>
                <w:rFonts w:eastAsia="Arial"/>
                <w:lang w:eastAsia="en-US"/>
              </w:rPr>
            </w:r>
            <w:r/>
          </w:p>
        </w:tc>
        <w:tc>
          <w:tcPr>
            <w:tcW w:w="763" w:type="dxa"/>
            <w:vAlign w:val="top"/>
            <w:textDirection w:val="lrTb"/>
            <w:noWrap w:val="false"/>
          </w:tcPr>
          <w:p>
            <w:pPr>
              <w:pStyle w:val="1011"/>
              <w:rPr>
                <w:rFonts w:eastAsia="Arial"/>
                <w:lang w:eastAsia="en-US"/>
              </w:rPr>
            </w:pPr>
            <w:r>
              <w:rPr>
                <w:rFonts w:eastAsia="Arial"/>
                <w:lang w:eastAsia="en-US"/>
              </w:rPr>
            </w:r>
            <w:r/>
          </w:p>
        </w:tc>
        <w:tc>
          <w:tcPr>
            <w:tcW w:w="990" w:type="dxa"/>
            <w:vAlign w:val="top"/>
            <w:textDirection w:val="lrTb"/>
            <w:noWrap w:val="false"/>
          </w:tcPr>
          <w:p>
            <w:pPr>
              <w:pStyle w:val="1011"/>
              <w:rPr>
                <w:rFonts w:eastAsia="Arial"/>
                <w:lang w:eastAsia="en-US"/>
              </w:rPr>
            </w:pPr>
            <w:r>
              <w:rPr>
                <w:rFonts w:eastAsia="Arial"/>
                <w:lang w:eastAsia="en-US"/>
              </w:rPr>
            </w:r>
            <w:r/>
          </w:p>
        </w:tc>
        <w:tc>
          <w:tcPr>
            <w:tcW w:w="1156" w:type="dxa"/>
            <w:vAlign w:val="top"/>
            <w:textDirection w:val="lrTb"/>
            <w:noWrap w:val="false"/>
          </w:tcPr>
          <w:p>
            <w:pPr>
              <w:pStyle w:val="1011"/>
              <w:rPr>
                <w:rFonts w:eastAsia="Arial"/>
                <w:lang w:eastAsia="en-US"/>
              </w:rPr>
            </w:pPr>
            <w:r>
              <w:rPr>
                <w:rFonts w:eastAsia="Arial"/>
                <w:lang w:eastAsia="en-US"/>
              </w:rPr>
            </w:r>
            <w:r/>
          </w:p>
        </w:tc>
        <w:tc>
          <w:tcPr>
            <w:tcW w:w="659" w:type="dxa"/>
            <w:vAlign w:val="top"/>
            <w:textDirection w:val="lrTb"/>
            <w:noWrap w:val="false"/>
          </w:tcPr>
          <w:p>
            <w:pPr>
              <w:pStyle w:val="1011"/>
              <w:rPr>
                <w:rFonts w:eastAsia="Arial"/>
                <w:lang w:eastAsia="en-US"/>
              </w:rPr>
            </w:pPr>
            <w:r>
              <w:rPr>
                <w:rFonts w:eastAsia="Arial"/>
                <w:lang w:eastAsia="en-US"/>
              </w:rPr>
            </w:r>
            <w:r/>
          </w:p>
        </w:tc>
        <w:tc>
          <w:tcPr>
            <w:tcW w:w="688" w:type="dxa"/>
            <w:vAlign w:val="top"/>
            <w:textDirection w:val="lrTb"/>
            <w:noWrap w:val="false"/>
          </w:tcPr>
          <w:p>
            <w:pPr>
              <w:pStyle w:val="1011"/>
              <w:rPr>
                <w:rFonts w:eastAsia="Arial"/>
                <w:lang w:eastAsia="en-US"/>
              </w:rPr>
            </w:pPr>
            <w:r>
              <w:rPr>
                <w:rFonts w:eastAsia="Arial"/>
                <w:lang w:eastAsia="en-US"/>
              </w:rPr>
            </w:r>
            <w:r/>
          </w:p>
        </w:tc>
        <w:tc>
          <w:tcPr>
            <w:tcW w:w="1347" w:type="dxa"/>
            <w:vAlign w:val="top"/>
            <w:textDirection w:val="lrTb"/>
            <w:noWrap w:val="false"/>
          </w:tcPr>
          <w:p>
            <w:pPr>
              <w:pStyle w:val="1011"/>
              <w:rPr>
                <w:rFonts w:eastAsia="Arial"/>
                <w:lang w:eastAsia="en-US"/>
              </w:rPr>
            </w:pPr>
            <w:r>
              <w:rPr>
                <w:rFonts w:eastAsia="Arial"/>
                <w:lang w:eastAsia="en-US"/>
              </w:rPr>
            </w:r>
            <w:r/>
          </w:p>
        </w:tc>
        <w:tc>
          <w:tcPr>
            <w:tcW w:w="1347" w:type="dxa"/>
            <w:vAlign w:val="top"/>
            <w:textDirection w:val="lrTb"/>
            <w:noWrap w:val="false"/>
          </w:tcPr>
          <w:p>
            <w:pPr>
              <w:pStyle w:val="1011"/>
              <w:rPr>
                <w:rFonts w:eastAsia="Arial"/>
                <w:lang w:eastAsia="en-US"/>
              </w:rPr>
            </w:pPr>
            <w:r>
              <w:rPr>
                <w:rFonts w:eastAsia="Arial"/>
                <w:lang w:eastAsia="en-US"/>
              </w:rPr>
            </w:r>
            <w:r/>
          </w:p>
        </w:tc>
        <w:tc>
          <w:tcPr>
            <w:tcW w:w="585" w:type="dxa"/>
            <w:vAlign w:val="top"/>
            <w:textDirection w:val="lrTb"/>
            <w:noWrap w:val="false"/>
          </w:tcPr>
          <w:p>
            <w:pPr>
              <w:pStyle w:val="1011"/>
              <w:rPr>
                <w:rFonts w:eastAsia="Arial"/>
                <w:lang w:eastAsia="en-US"/>
              </w:rPr>
            </w:pPr>
            <w:r>
              <w:rPr>
                <w:rFonts w:eastAsia="Arial"/>
                <w:lang w:eastAsia="en-US"/>
              </w:rPr>
            </w:r>
            <w:r/>
          </w:p>
        </w:tc>
      </w:tr>
      <w:tr>
        <w:trPr>
          <w:trHeight w:val="472"/>
        </w:trPr>
        <w:tc>
          <w:tcPr>
            <w:tcW w:w="599" w:type="dxa"/>
            <w:vAlign w:val="top"/>
            <w:textDirection w:val="lrTb"/>
            <w:noWrap w:val="false"/>
          </w:tcPr>
          <w:p>
            <w:pPr>
              <w:pStyle w:val="1011"/>
              <w:rPr>
                <w:rFonts w:eastAsia="Arial"/>
                <w:lang w:eastAsia="en-US"/>
              </w:rPr>
            </w:pPr>
            <w:r>
              <w:rPr>
                <w:rFonts w:eastAsia="Arial"/>
                <w:lang w:eastAsia="en-US"/>
              </w:rPr>
            </w:r>
            <w:r/>
          </w:p>
        </w:tc>
        <w:tc>
          <w:tcPr>
            <w:tcW w:w="772" w:type="dxa"/>
            <w:vAlign w:val="top"/>
            <w:textDirection w:val="lrTb"/>
            <w:noWrap w:val="false"/>
          </w:tcPr>
          <w:p>
            <w:pPr>
              <w:pStyle w:val="1011"/>
              <w:rPr>
                <w:rFonts w:eastAsia="Arial"/>
                <w:lang w:eastAsia="en-US"/>
              </w:rPr>
            </w:pPr>
            <w:r>
              <w:rPr>
                <w:rFonts w:eastAsia="Arial"/>
                <w:lang w:eastAsia="en-US"/>
              </w:rPr>
            </w:r>
            <w:r/>
          </w:p>
        </w:tc>
        <w:tc>
          <w:tcPr>
            <w:tcW w:w="748" w:type="dxa"/>
            <w:vAlign w:val="top"/>
            <w:textDirection w:val="lrTb"/>
            <w:noWrap w:val="false"/>
          </w:tcPr>
          <w:p>
            <w:pPr>
              <w:pStyle w:val="1011"/>
              <w:rPr>
                <w:rFonts w:eastAsia="Arial"/>
                <w:lang w:eastAsia="en-US"/>
              </w:rPr>
            </w:pPr>
            <w:r>
              <w:rPr>
                <w:rFonts w:eastAsia="Arial"/>
                <w:lang w:eastAsia="en-US"/>
              </w:rPr>
            </w:r>
            <w:r/>
          </w:p>
        </w:tc>
        <w:tc>
          <w:tcPr>
            <w:tcW w:w="763" w:type="dxa"/>
            <w:vAlign w:val="top"/>
            <w:textDirection w:val="lrTb"/>
            <w:noWrap w:val="false"/>
          </w:tcPr>
          <w:p>
            <w:pPr>
              <w:pStyle w:val="1011"/>
              <w:rPr>
                <w:rFonts w:eastAsia="Arial"/>
                <w:lang w:eastAsia="en-US"/>
              </w:rPr>
            </w:pPr>
            <w:r>
              <w:rPr>
                <w:rFonts w:eastAsia="Arial"/>
                <w:lang w:eastAsia="en-US"/>
              </w:rPr>
            </w:r>
            <w:r/>
          </w:p>
        </w:tc>
        <w:tc>
          <w:tcPr>
            <w:tcW w:w="990" w:type="dxa"/>
            <w:vAlign w:val="top"/>
            <w:textDirection w:val="lrTb"/>
            <w:noWrap w:val="false"/>
          </w:tcPr>
          <w:p>
            <w:pPr>
              <w:pStyle w:val="1011"/>
              <w:rPr>
                <w:rFonts w:eastAsia="Arial"/>
                <w:lang w:eastAsia="en-US"/>
              </w:rPr>
            </w:pPr>
            <w:r>
              <w:rPr>
                <w:rFonts w:eastAsia="Arial"/>
                <w:lang w:eastAsia="en-US"/>
              </w:rPr>
            </w:r>
            <w:r/>
          </w:p>
        </w:tc>
        <w:tc>
          <w:tcPr>
            <w:tcW w:w="1156" w:type="dxa"/>
            <w:vAlign w:val="top"/>
            <w:textDirection w:val="lrTb"/>
            <w:noWrap w:val="false"/>
          </w:tcPr>
          <w:p>
            <w:pPr>
              <w:pStyle w:val="1011"/>
              <w:rPr>
                <w:rFonts w:eastAsia="Arial"/>
                <w:lang w:eastAsia="en-US"/>
              </w:rPr>
            </w:pPr>
            <w:r>
              <w:rPr>
                <w:rFonts w:eastAsia="Arial"/>
                <w:lang w:eastAsia="en-US"/>
              </w:rPr>
            </w:r>
            <w:r/>
          </w:p>
        </w:tc>
        <w:tc>
          <w:tcPr>
            <w:tcW w:w="659" w:type="dxa"/>
            <w:vAlign w:val="top"/>
            <w:textDirection w:val="lrTb"/>
            <w:noWrap w:val="false"/>
          </w:tcPr>
          <w:p>
            <w:pPr>
              <w:pStyle w:val="1011"/>
              <w:rPr>
                <w:rFonts w:eastAsia="Arial"/>
                <w:lang w:eastAsia="en-US"/>
              </w:rPr>
            </w:pPr>
            <w:r>
              <w:rPr>
                <w:rFonts w:eastAsia="Arial"/>
                <w:lang w:eastAsia="en-US"/>
              </w:rPr>
            </w:r>
            <w:r/>
          </w:p>
        </w:tc>
        <w:tc>
          <w:tcPr>
            <w:tcW w:w="688" w:type="dxa"/>
            <w:vAlign w:val="top"/>
            <w:textDirection w:val="lrTb"/>
            <w:noWrap w:val="false"/>
          </w:tcPr>
          <w:p>
            <w:pPr>
              <w:pStyle w:val="1011"/>
              <w:rPr>
                <w:rFonts w:eastAsia="Arial"/>
                <w:lang w:eastAsia="en-US"/>
              </w:rPr>
            </w:pPr>
            <w:r>
              <w:rPr>
                <w:rFonts w:eastAsia="Arial"/>
                <w:lang w:eastAsia="en-US"/>
              </w:rPr>
            </w:r>
            <w:r/>
          </w:p>
        </w:tc>
        <w:tc>
          <w:tcPr>
            <w:tcW w:w="1347" w:type="dxa"/>
            <w:vAlign w:val="top"/>
            <w:textDirection w:val="lrTb"/>
            <w:noWrap w:val="false"/>
          </w:tcPr>
          <w:p>
            <w:pPr>
              <w:pStyle w:val="1011"/>
              <w:rPr>
                <w:rFonts w:eastAsia="Arial"/>
                <w:lang w:eastAsia="en-US"/>
              </w:rPr>
            </w:pPr>
            <w:r>
              <w:rPr>
                <w:rFonts w:eastAsia="Arial"/>
                <w:lang w:eastAsia="en-US"/>
              </w:rPr>
            </w:r>
            <w:r/>
          </w:p>
        </w:tc>
        <w:tc>
          <w:tcPr>
            <w:tcW w:w="1347" w:type="dxa"/>
            <w:vAlign w:val="top"/>
            <w:textDirection w:val="lrTb"/>
            <w:noWrap w:val="false"/>
          </w:tcPr>
          <w:p>
            <w:pPr>
              <w:pStyle w:val="1011"/>
              <w:rPr>
                <w:rFonts w:eastAsia="Arial"/>
                <w:lang w:eastAsia="en-US"/>
              </w:rPr>
            </w:pPr>
            <w:r>
              <w:rPr>
                <w:rFonts w:eastAsia="Arial"/>
                <w:lang w:eastAsia="en-US"/>
              </w:rPr>
            </w:r>
            <w:r/>
          </w:p>
        </w:tc>
        <w:tc>
          <w:tcPr>
            <w:tcBorders>
              <w:right w:val="single" w:color="000000" w:sz="2" w:space="0"/>
            </w:tcBorders>
            <w:tcW w:w="585" w:type="dxa"/>
            <w:vAlign w:val="top"/>
            <w:textDirection w:val="lrTb"/>
            <w:noWrap w:val="false"/>
          </w:tcPr>
          <w:p>
            <w:pPr>
              <w:pStyle w:val="1011"/>
              <w:rPr>
                <w:rFonts w:eastAsia="Arial"/>
                <w:lang w:eastAsia="en-US"/>
              </w:rPr>
            </w:pPr>
            <w:r>
              <w:rPr>
                <w:rFonts w:eastAsia="Arial"/>
                <w:lang w:eastAsia="en-US"/>
              </w:rPr>
            </w:r>
            <w:r/>
          </w:p>
        </w:tc>
      </w:tr>
      <w:tr>
        <w:trPr>
          <w:trHeight w:val="421"/>
        </w:trPr>
        <w:tc>
          <w:tcPr>
            <w:gridSpan w:val="11"/>
            <w:tcBorders>
              <w:right w:val="single" w:color="000000" w:sz="2" w:space="0"/>
            </w:tcBorders>
            <w:tcW w:w="9654" w:type="dxa"/>
            <w:vAlign w:val="top"/>
            <w:textDirection w:val="lrTb"/>
            <w:noWrap w:val="false"/>
          </w:tcPr>
          <w:p>
            <w:pPr>
              <w:pStyle w:val="1198"/>
              <w:ind w:left="1421"/>
              <w:spacing w:before="36" w:line="221" w:lineRule="auto"/>
            </w:pPr>
            <w:r>
              <w:rPr>
                <w:spacing w:val="-1"/>
              </w:rPr>
              <w:t xml:space="preserve">说明：</w:t>
            </w:r>
            <w:r>
              <w:rPr>
                <w:rFonts w:ascii="Times New Roman" w:hAnsi="Times New Roman" w:eastAsia="Times New Roman" w:cs="Times New Roman"/>
                <w:spacing w:val="-1"/>
              </w:rPr>
              <w:t xml:space="preserve">1</w:t>
            </w:r>
            <w:r>
              <w:rPr>
                <w:spacing w:val="-1"/>
              </w:rPr>
              <w:t xml:space="preserve">、表中资格证明类别一栏按资格证书、岗位证书、培训证书填写；</w:t>
            </w:r>
            <w:r/>
          </w:p>
        </w:tc>
      </w:tr>
    </w:tbl>
    <w:p>
      <w:pPr>
        <w:pStyle w:val="1182"/>
        <w:spacing w:line="272" w:lineRule="auto"/>
      </w:pPr>
      <w:r/>
      <w:r/>
    </w:p>
    <w:p>
      <w:pPr>
        <w:pStyle w:val="1182"/>
        <w:spacing w:line="272" w:lineRule="auto"/>
      </w:pPr>
      <w:r/>
      <w:r/>
    </w:p>
    <w:p>
      <w:pPr>
        <w:pStyle w:val="1182"/>
        <w:spacing w:line="273" w:lineRule="auto"/>
      </w:pPr>
      <w:r/>
      <w:r/>
    </w:p>
    <w:p>
      <w:pPr>
        <w:pStyle w:val="1011"/>
        <w:ind w:left="459"/>
        <w:spacing w:before="68" w:line="221" w:lineRule="auto"/>
        <w:rPr>
          <w:rFonts w:ascii="宋体" w:hAnsi="宋体" w:cs="宋体"/>
        </w:rPr>
      </w:pPr>
      <w:r>
        <w:rPr>
          <w:rFonts w:ascii="宋体" w:hAnsi="宋体" w:cs="宋体"/>
          <w:spacing w:val="-4"/>
        </w:rPr>
        <w:t xml:space="preserve">投标人（公章</w:t>
      </w:r>
      <w:r>
        <w:rPr>
          <w:rFonts w:ascii="宋体" w:hAnsi="宋体" w:cs="宋体"/>
          <w:spacing w:val="1"/>
        </w:rPr>
        <w:t xml:space="preserve">）：</w:t>
      </w:r>
      <w:r>
        <w:rPr>
          <w:rFonts w:ascii="宋体" w:hAnsi="宋体" w:cs="宋体"/>
        </w:rPr>
      </w:r>
      <w:r/>
    </w:p>
    <w:p>
      <w:pPr>
        <w:pStyle w:val="1011"/>
        <w:ind w:left="457"/>
        <w:spacing w:before="188" w:line="221" w:lineRule="auto"/>
        <w:rPr>
          <w:rFonts w:ascii="宋体" w:hAnsi="宋体" w:cs="宋体"/>
        </w:rPr>
      </w:pPr>
      <w:r>
        <w:rPr>
          <w:rFonts w:ascii="宋体" w:hAnsi="宋体" w:cs="宋体"/>
          <w:spacing w:val="-1"/>
        </w:rPr>
        <w:t xml:space="preserve">法定代表人或代理人（签字或盖章</w:t>
      </w:r>
      <w:r>
        <w:rPr>
          <w:rFonts w:ascii="宋体" w:hAnsi="宋体" w:cs="宋体"/>
          <w:spacing w:val="4"/>
        </w:rPr>
        <w:t xml:space="preserve">）：</w:t>
      </w:r>
      <w:r>
        <w:rPr>
          <w:rFonts w:ascii="宋体" w:hAnsi="宋体" w:cs="宋体"/>
        </w:rPr>
      </w:r>
      <w:r/>
    </w:p>
    <w:p>
      <w:pPr>
        <w:pStyle w:val="1011"/>
        <w:ind w:left="493"/>
        <w:spacing w:before="191" w:line="221" w:lineRule="auto"/>
        <w:rPr>
          <w:rFonts w:ascii="宋体" w:hAnsi="宋体" w:cs="宋体"/>
        </w:rPr>
      </w:pPr>
      <w:r>
        <w:rPr>
          <w:rFonts w:ascii="宋体" w:hAnsi="宋体" w:cs="宋体"/>
          <w:spacing w:val="-11"/>
        </w:rPr>
        <w:t xml:space="preserve">日期：年月日</w:t>
      </w:r>
      <w:r>
        <w:rPr>
          <w:rFonts w:ascii="宋体" w:hAnsi="宋体" w:cs="宋体"/>
        </w:rPr>
      </w:r>
      <w:r/>
    </w:p>
    <w:p>
      <w:pPr>
        <w:pStyle w:val="1182"/>
        <w:spacing w:line="243" w:lineRule="auto"/>
      </w:pPr>
      <w:r/>
      <w:r/>
    </w:p>
    <w:p>
      <w:pPr>
        <w:pStyle w:val="1182"/>
        <w:spacing w:line="243" w:lineRule="auto"/>
      </w:pPr>
      <w:r/>
      <w:r/>
    </w:p>
    <w:p>
      <w:pPr>
        <w:pStyle w:val="1182"/>
        <w:spacing w:line="243" w:lineRule="auto"/>
      </w:pPr>
      <w:r/>
      <w:r/>
    </w:p>
    <w:p>
      <w:pPr>
        <w:pStyle w:val="1182"/>
        <w:spacing w:line="244" w:lineRule="auto"/>
      </w:pPr>
      <w:r/>
      <w:r/>
    </w:p>
    <w:p>
      <w:pPr>
        <w:pStyle w:val="1182"/>
        <w:spacing w:line="244" w:lineRule="auto"/>
      </w:pPr>
      <w:r/>
      <w:r/>
    </w:p>
    <w:p>
      <w:pPr>
        <w:pStyle w:val="1011"/>
        <w:ind w:left="475"/>
        <w:spacing w:before="69" w:line="221" w:lineRule="auto"/>
        <w:rPr>
          <w:rFonts w:ascii="宋体" w:hAnsi="宋体" w:cs="宋体"/>
        </w:rPr>
      </w:pPr>
      <w:r>
        <w:rPr>
          <w:rFonts w:ascii="宋体" w:hAnsi="宋体" w:cs="宋体"/>
          <w:b/>
          <w:bCs/>
          <w:spacing w:val="-3"/>
        </w:rPr>
        <w:t xml:space="preserve">1、须提供人员相关证书原件扫描件及投标单位为其缴纳的近</w:t>
      </w:r>
      <w:r>
        <w:rPr>
          <w:rFonts w:ascii="宋体" w:hAnsi="宋体" w:cs="宋体"/>
          <w:b/>
          <w:bCs/>
          <w:spacing w:val="-3"/>
          <w:highlight w:val="white"/>
        </w:rPr>
        <w:t xml:space="preserve">六</w:t>
      </w:r>
      <w:r>
        <w:rPr>
          <w:rFonts w:ascii="宋体" w:hAnsi="宋体" w:cs="宋体"/>
          <w:b/>
          <w:bCs/>
          <w:spacing w:val="-3"/>
        </w:rPr>
        <w:t xml:space="preserve">个月社保证明，否则视为未提供。</w:t>
      </w:r>
      <w:r>
        <w:rPr>
          <w:rFonts w:ascii="宋体" w:hAnsi="宋体" w:cs="宋体"/>
        </w:rPr>
      </w:r>
      <w:r/>
    </w:p>
    <w:p>
      <w:pPr>
        <w:pStyle w:val="1011"/>
        <w:ind w:left="461"/>
        <w:spacing w:before="157" w:line="221" w:lineRule="auto"/>
        <w:rPr>
          <w:rFonts w:ascii="宋体" w:hAnsi="宋体" w:cs="宋体"/>
        </w:rPr>
      </w:pPr>
      <w:r>
        <w:rPr>
          <w:rFonts w:ascii="宋体" w:hAnsi="宋体" w:cs="宋体"/>
          <w:b/>
          <w:bCs/>
          <w:spacing w:val="-2"/>
        </w:rPr>
        <w:t xml:space="preserve">2、投标单位可参照上述格式自行设计表格投标。</w:t>
      </w:r>
      <w:bookmarkEnd w:id="86"/>
      <w:r>
        <w:rPr>
          <w:rFonts w:ascii="宋体" w:hAnsi="宋体" w:cs="宋体"/>
        </w:rPr>
      </w:r>
      <w:r/>
    </w:p>
    <w:p>
      <w:pPr>
        <w:pStyle w:val="1011"/>
        <w:spacing w:line="221" w:lineRule="auto"/>
        <w:rPr>
          <w:rFonts w:ascii="宋体" w:hAnsi="宋体" w:cs="宋体"/>
        </w:rPr>
        <w:sectPr>
          <w:headerReference w:type="default" r:id="rId19"/>
          <w:footnotePr/>
          <w:endnotePr/>
          <w:type w:val="nextPage"/>
          <w:pgSz w:w="11907" w:h="16839" w:orient="portrait"/>
          <w:pgMar w:top="921" w:right="1106" w:bottom="676" w:left="1104" w:header="601" w:footer="511" w:gutter="0"/>
          <w:cols w:num="1" w:sep="0" w:space="720" w:equalWidth="1"/>
          <w:docGrid w:linePitch="360"/>
        </w:sectPr>
      </w:pPr>
      <w:r>
        <w:rPr>
          <w:rFonts w:ascii="宋体" w:hAnsi="宋体" w:cs="宋体"/>
        </w:rPr>
      </w:r>
      <w:r/>
    </w:p>
    <w:p>
      <w:pPr>
        <w:pStyle w:val="1011"/>
        <w:ind w:left="37"/>
        <w:spacing w:before="157" w:line="221" w:lineRule="auto"/>
        <w:rPr>
          <w:rFonts w:ascii="宋体" w:hAnsi="宋体" w:cs="宋体"/>
        </w:rPr>
      </w:pPr>
      <w:r/>
      <w:bookmarkStart w:id="87" w:name="OLE_LINK82"/>
      <w:r>
        <w:rPr>
          <w:rFonts w:ascii="宋体" w:hAnsi="宋体" w:cs="宋体"/>
          <w:b/>
          <w:bCs/>
          <w:spacing w:val="-3"/>
        </w:rPr>
        <w:t xml:space="preserve">格式</w:t>
      </w:r>
      <w:r>
        <w:rPr>
          <w:rFonts w:ascii="Times New Roman" w:hAnsi="Times New Roman" w:eastAsia="Times New Roman" w:cs="Times New Roman"/>
          <w:b/>
          <w:bCs/>
          <w:spacing w:val="-3"/>
        </w:rPr>
        <w:t xml:space="preserve">1</w:t>
      </w:r>
      <w:r>
        <w:rPr>
          <w:rFonts w:hint="eastAsia" w:ascii="Times New Roman" w:hAnsi="Times New Roman" w:cs="Times New Roman"/>
          <w:b/>
          <w:bCs/>
          <w:spacing w:val="-3"/>
        </w:rPr>
        <w:t xml:space="preserve">5</w:t>
      </w:r>
      <w:r>
        <w:rPr>
          <w:rFonts w:ascii="宋体" w:hAnsi="宋体" w:cs="宋体"/>
          <w:b/>
          <w:bCs/>
          <w:spacing w:val="-3"/>
        </w:rPr>
        <w:t xml:space="preserve">、项目负责人情况表</w:t>
      </w:r>
      <w:r>
        <w:rPr>
          <w:rFonts w:ascii="宋体" w:hAnsi="宋体" w:cs="宋体"/>
        </w:rPr>
      </w:r>
      <w:r/>
    </w:p>
    <w:p>
      <w:pPr>
        <w:pStyle w:val="1182"/>
        <w:spacing w:line="270" w:lineRule="auto"/>
      </w:pPr>
      <w:r/>
      <w:r/>
    </w:p>
    <w:p>
      <w:pPr>
        <w:pStyle w:val="1182"/>
        <w:spacing w:line="271" w:lineRule="auto"/>
      </w:pPr>
      <w:r/>
      <w:r/>
    </w:p>
    <w:p>
      <w:pPr>
        <w:pStyle w:val="1011"/>
        <w:ind w:left="4014"/>
        <w:spacing w:before="68" w:line="221" w:lineRule="auto"/>
        <w:rPr>
          <w:rFonts w:ascii="宋体" w:hAnsi="宋体" w:cs="宋体"/>
        </w:rPr>
      </w:pPr>
      <w:r>
        <w:rPr>
          <w:rFonts w:ascii="宋体" w:hAnsi="宋体" w:cs="宋体"/>
          <w:b/>
          <w:bCs/>
          <w:spacing w:val="-3"/>
        </w:rPr>
        <w:t xml:space="preserve">项目负责人情况表</w:t>
      </w:r>
      <w:r>
        <w:rPr>
          <w:rFonts w:ascii="宋体" w:hAnsi="宋体" w:cs="宋体"/>
        </w:rPr>
      </w:r>
      <w:r/>
    </w:p>
    <w:p>
      <w:pPr>
        <w:pStyle w:val="1011"/>
        <w:spacing w:before="37"/>
      </w:pPr>
      <w:r/>
      <w:r/>
    </w:p>
    <w:p>
      <w:pPr>
        <w:pStyle w:val="1011"/>
        <w:spacing w:before="36"/>
      </w:pPr>
      <w:r/>
      <w:r/>
    </w:p>
    <w:tbl>
      <w:tblPr>
        <w:tblW w:w="9621" w:type="dxa"/>
        <w:tblInd w:w="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31"/>
        <w:gridCol w:w="3260"/>
        <w:gridCol w:w="1701"/>
        <w:gridCol w:w="3029"/>
      </w:tblGrid>
      <w:tr>
        <w:trPr>
          <w:trHeight w:val="578"/>
        </w:trPr>
        <w:tc>
          <w:tcPr>
            <w:tcW w:w="1631" w:type="dxa"/>
            <w:vAlign w:val="top"/>
            <w:textDirection w:val="lrTb"/>
            <w:noWrap w:val="false"/>
          </w:tcPr>
          <w:p>
            <w:pPr>
              <w:pStyle w:val="1198"/>
              <w:ind w:left="401"/>
              <w:spacing w:before="183" w:line="221" w:lineRule="auto"/>
              <w:rPr>
                <w:lang w:eastAsia="en-US"/>
              </w:rPr>
            </w:pPr>
            <w:r>
              <w:rPr>
                <w:spacing w:val="-4"/>
                <w:lang w:eastAsia="en-US"/>
              </w:rPr>
              <w:t xml:space="preserve">姓名</w:t>
            </w:r>
            <w:r>
              <w:rPr>
                <w:lang w:eastAsia="en-US"/>
              </w:rPr>
            </w:r>
            <w:r/>
          </w:p>
        </w:tc>
        <w:tc>
          <w:tcPr>
            <w:tcW w:w="3260" w:type="dxa"/>
            <w:vAlign w:val="top"/>
            <w:textDirection w:val="lrTb"/>
            <w:noWrap w:val="false"/>
          </w:tcPr>
          <w:p>
            <w:pPr>
              <w:pStyle w:val="1011"/>
              <w:rPr>
                <w:rFonts w:eastAsia="Arial"/>
                <w:lang w:eastAsia="en-US"/>
              </w:rPr>
            </w:pPr>
            <w:r>
              <w:rPr>
                <w:rFonts w:eastAsia="Arial"/>
                <w:lang w:eastAsia="en-US"/>
              </w:rPr>
            </w:r>
            <w:r/>
          </w:p>
        </w:tc>
        <w:tc>
          <w:tcPr>
            <w:tcW w:w="1701" w:type="dxa"/>
            <w:vAlign w:val="top"/>
            <w:textDirection w:val="lrTb"/>
            <w:noWrap w:val="false"/>
          </w:tcPr>
          <w:p>
            <w:pPr>
              <w:pStyle w:val="1198"/>
              <w:ind w:left="438"/>
              <w:spacing w:before="183" w:line="221" w:lineRule="auto"/>
              <w:rPr>
                <w:lang w:eastAsia="en-US"/>
              </w:rPr>
            </w:pPr>
            <w:r>
              <w:rPr>
                <w:spacing w:val="-4"/>
                <w:lang w:eastAsia="en-US"/>
              </w:rPr>
              <w:t xml:space="preserve">年龄</w:t>
            </w:r>
            <w:r>
              <w:rPr>
                <w:lang w:eastAsia="en-US"/>
              </w:rPr>
            </w:r>
            <w:r/>
          </w:p>
        </w:tc>
        <w:tc>
          <w:tcPr>
            <w:tcW w:w="3029" w:type="dxa"/>
            <w:vAlign w:val="top"/>
            <w:textDirection w:val="lrTb"/>
            <w:noWrap w:val="false"/>
          </w:tcPr>
          <w:p>
            <w:pPr>
              <w:pStyle w:val="1011"/>
              <w:rPr>
                <w:rFonts w:eastAsia="Arial"/>
                <w:lang w:eastAsia="en-US"/>
              </w:rPr>
            </w:pPr>
            <w:r>
              <w:rPr>
                <w:rFonts w:eastAsia="Arial"/>
                <w:lang w:eastAsia="en-US"/>
              </w:rPr>
            </w:r>
            <w:r/>
          </w:p>
        </w:tc>
      </w:tr>
      <w:tr>
        <w:trPr>
          <w:trHeight w:val="570"/>
        </w:trPr>
        <w:tc>
          <w:tcPr>
            <w:tcW w:w="1631" w:type="dxa"/>
            <w:vAlign w:val="top"/>
            <w:textDirection w:val="lrTb"/>
            <w:noWrap w:val="false"/>
          </w:tcPr>
          <w:p>
            <w:pPr>
              <w:pStyle w:val="1198"/>
              <w:ind w:left="405"/>
              <w:spacing w:before="175" w:line="223" w:lineRule="auto"/>
              <w:rPr>
                <w:lang w:eastAsia="en-US"/>
              </w:rPr>
            </w:pPr>
            <w:r>
              <w:rPr>
                <w:spacing w:val="-6"/>
                <w:lang w:eastAsia="en-US"/>
              </w:rPr>
              <w:t xml:space="preserve">学历</w:t>
            </w:r>
            <w:r>
              <w:rPr>
                <w:lang w:eastAsia="en-US"/>
              </w:rPr>
            </w:r>
            <w:r/>
          </w:p>
        </w:tc>
        <w:tc>
          <w:tcPr>
            <w:tcW w:w="3260" w:type="dxa"/>
            <w:vAlign w:val="top"/>
            <w:textDirection w:val="lrTb"/>
            <w:noWrap w:val="false"/>
          </w:tcPr>
          <w:p>
            <w:pPr>
              <w:pStyle w:val="1198"/>
              <w:ind w:left="694"/>
              <w:spacing w:before="175" w:line="221" w:lineRule="auto"/>
              <w:rPr>
                <w:lang w:eastAsia="en-US"/>
              </w:rPr>
            </w:pPr>
            <w:r>
              <w:rPr>
                <w:b/>
                <w:bCs/>
                <w:spacing w:val="-5"/>
                <w:lang w:eastAsia="en-US"/>
              </w:rPr>
              <w:t xml:space="preserve">（须提供毕业证书）</w:t>
            </w:r>
            <w:r>
              <w:rPr>
                <w:lang w:eastAsia="en-US"/>
              </w:rPr>
            </w:r>
            <w:r/>
          </w:p>
        </w:tc>
        <w:tc>
          <w:tcPr>
            <w:tcW w:w="1701" w:type="dxa"/>
            <w:vAlign w:val="top"/>
            <w:textDirection w:val="lrTb"/>
            <w:noWrap w:val="false"/>
          </w:tcPr>
          <w:p>
            <w:pPr>
              <w:pStyle w:val="1198"/>
              <w:ind w:left="438"/>
              <w:spacing w:before="176" w:line="222" w:lineRule="auto"/>
              <w:rPr>
                <w:lang w:eastAsia="en-US"/>
              </w:rPr>
            </w:pPr>
            <w:r>
              <w:rPr>
                <w:spacing w:val="-4"/>
                <w:lang w:eastAsia="en-US"/>
              </w:rPr>
              <w:t xml:space="preserve">专业</w:t>
            </w:r>
            <w:r>
              <w:rPr>
                <w:lang w:eastAsia="en-US"/>
              </w:rPr>
            </w:r>
            <w:r/>
          </w:p>
        </w:tc>
        <w:tc>
          <w:tcPr>
            <w:tcW w:w="3029" w:type="dxa"/>
            <w:vAlign w:val="top"/>
            <w:textDirection w:val="lrTb"/>
            <w:noWrap w:val="false"/>
          </w:tcPr>
          <w:p>
            <w:pPr>
              <w:pStyle w:val="1198"/>
              <w:ind w:left="259"/>
              <w:spacing w:before="175" w:line="221" w:lineRule="auto"/>
            </w:pPr>
            <w:r>
              <w:rPr>
                <w:b/>
                <w:bCs/>
                <w:spacing w:val="-3"/>
              </w:rPr>
              <w:t xml:space="preserve">（指毕业证书上所学专业）</w:t>
            </w:r>
            <w:r/>
          </w:p>
        </w:tc>
      </w:tr>
      <w:tr>
        <w:trPr>
          <w:trHeight w:val="570"/>
        </w:trPr>
        <w:tc>
          <w:tcPr>
            <w:tcW w:w="1631" w:type="dxa"/>
            <w:vAlign w:val="top"/>
            <w:textDirection w:val="lrTb"/>
            <w:noWrap w:val="false"/>
          </w:tcPr>
          <w:p>
            <w:pPr>
              <w:pStyle w:val="1198"/>
              <w:ind w:left="410"/>
              <w:spacing w:before="179" w:line="221" w:lineRule="auto"/>
              <w:rPr>
                <w:lang w:eastAsia="en-US"/>
              </w:rPr>
            </w:pPr>
            <w:r>
              <w:rPr>
                <w:spacing w:val="-4"/>
                <w:lang w:eastAsia="en-US"/>
              </w:rPr>
              <w:t xml:space="preserve">资格证书</w:t>
            </w:r>
            <w:r>
              <w:rPr>
                <w:lang w:eastAsia="en-US"/>
              </w:rPr>
            </w:r>
            <w:r/>
          </w:p>
        </w:tc>
        <w:tc>
          <w:tcPr>
            <w:tcW w:w="3260" w:type="dxa"/>
            <w:vAlign w:val="top"/>
            <w:textDirection w:val="lrTb"/>
            <w:noWrap w:val="false"/>
          </w:tcPr>
          <w:p>
            <w:pPr>
              <w:pStyle w:val="1198"/>
              <w:ind w:left="483"/>
              <w:spacing w:before="179" w:line="221" w:lineRule="auto"/>
            </w:pPr>
            <w:r>
              <w:rPr>
                <w:b/>
                <w:bCs/>
                <w:spacing w:val="-4"/>
              </w:rPr>
              <w:t xml:space="preserve">（如有须提供相关证书）</w:t>
            </w:r>
            <w:r/>
          </w:p>
        </w:tc>
        <w:tc>
          <w:tcPr>
            <w:tcW w:w="1701" w:type="dxa"/>
            <w:vAlign w:val="top"/>
            <w:textDirection w:val="lrTb"/>
            <w:noWrap w:val="false"/>
          </w:tcPr>
          <w:p>
            <w:pPr>
              <w:pStyle w:val="1198"/>
              <w:ind w:left="438"/>
              <w:spacing w:before="179" w:line="221" w:lineRule="auto"/>
              <w:rPr>
                <w:lang w:eastAsia="en-US"/>
              </w:rPr>
            </w:pPr>
            <w:r>
              <w:rPr>
                <w:spacing w:val="-2"/>
                <w:lang w:eastAsia="en-US"/>
              </w:rPr>
              <w:t xml:space="preserve">技术职称</w:t>
            </w:r>
            <w:r>
              <w:rPr>
                <w:lang w:eastAsia="en-US"/>
              </w:rPr>
            </w:r>
            <w:r/>
          </w:p>
        </w:tc>
        <w:tc>
          <w:tcPr>
            <w:tcW w:w="3029" w:type="dxa"/>
            <w:vAlign w:val="top"/>
            <w:textDirection w:val="lrTb"/>
            <w:noWrap w:val="false"/>
          </w:tcPr>
          <w:p>
            <w:pPr>
              <w:pStyle w:val="1198"/>
              <w:ind w:left="365"/>
              <w:spacing w:before="179" w:line="221" w:lineRule="auto"/>
            </w:pPr>
            <w:r>
              <w:rPr>
                <w:b/>
                <w:bCs/>
                <w:spacing w:val="-4"/>
              </w:rPr>
              <w:t xml:space="preserve">（如有须提供职称证书）</w:t>
            </w:r>
            <w:r/>
          </w:p>
        </w:tc>
      </w:tr>
      <w:tr>
        <w:trPr>
          <w:trHeight w:val="573"/>
        </w:trPr>
        <w:tc>
          <w:tcPr>
            <w:gridSpan w:val="2"/>
            <w:tcW w:w="4891" w:type="dxa"/>
            <w:vAlign w:val="top"/>
            <w:textDirection w:val="lrTb"/>
            <w:noWrap w:val="false"/>
          </w:tcPr>
          <w:p>
            <w:pPr>
              <w:pStyle w:val="1198"/>
              <w:ind w:left="1611"/>
              <w:spacing w:before="180" w:line="222" w:lineRule="auto"/>
              <w:rPr>
                <w:lang w:eastAsia="en-US"/>
              </w:rPr>
            </w:pPr>
            <w:r>
              <w:rPr>
                <w:spacing w:val="-1"/>
                <w:lang w:eastAsia="en-US"/>
              </w:rPr>
              <w:t xml:space="preserve">相关工作从业时间</w:t>
            </w:r>
            <w:r>
              <w:rPr>
                <w:lang w:eastAsia="en-US"/>
              </w:rPr>
            </w:r>
            <w:r/>
          </w:p>
        </w:tc>
        <w:tc>
          <w:tcPr>
            <w:gridSpan w:val="2"/>
            <w:tcW w:w="4730" w:type="dxa"/>
            <w:vAlign w:val="top"/>
            <w:textDirection w:val="lrTb"/>
            <w:noWrap w:val="false"/>
          </w:tcPr>
          <w:p>
            <w:pPr>
              <w:pStyle w:val="1011"/>
              <w:rPr>
                <w:rFonts w:eastAsia="Arial"/>
                <w:lang w:eastAsia="en-US"/>
              </w:rPr>
            </w:pPr>
            <w:r>
              <w:rPr>
                <w:rFonts w:eastAsia="Arial"/>
                <w:lang w:eastAsia="en-US"/>
              </w:rPr>
            </w:r>
            <w:r/>
          </w:p>
        </w:tc>
      </w:tr>
      <w:tr>
        <w:trPr>
          <w:trHeight w:val="571"/>
        </w:trPr>
        <w:tc>
          <w:tcPr>
            <w:gridSpan w:val="2"/>
            <w:tcW w:w="4891" w:type="dxa"/>
            <w:vAlign w:val="top"/>
            <w:textDirection w:val="lrTb"/>
            <w:noWrap w:val="false"/>
          </w:tcPr>
          <w:p>
            <w:pPr>
              <w:pStyle w:val="1198"/>
              <w:ind w:left="1613"/>
              <w:spacing w:before="181" w:line="221" w:lineRule="auto"/>
              <w:rPr>
                <w:lang w:eastAsia="en-US"/>
              </w:rPr>
            </w:pPr>
            <w:r>
              <w:rPr>
                <w:spacing w:val="-1"/>
                <w:lang w:eastAsia="en-US"/>
              </w:rPr>
              <w:t xml:space="preserve">为投标人服务时间</w:t>
            </w:r>
            <w:r>
              <w:rPr>
                <w:lang w:eastAsia="en-US"/>
              </w:rPr>
            </w:r>
            <w:r/>
          </w:p>
        </w:tc>
        <w:tc>
          <w:tcPr>
            <w:gridSpan w:val="2"/>
            <w:tcW w:w="4730" w:type="dxa"/>
            <w:vAlign w:val="top"/>
            <w:textDirection w:val="lrTb"/>
            <w:noWrap w:val="false"/>
          </w:tcPr>
          <w:p>
            <w:pPr>
              <w:pStyle w:val="1011"/>
              <w:rPr>
                <w:rFonts w:eastAsia="Arial"/>
                <w:lang w:eastAsia="en-US"/>
              </w:rPr>
            </w:pPr>
            <w:r>
              <w:rPr>
                <w:rFonts w:eastAsia="Arial"/>
                <w:lang w:eastAsia="en-US"/>
              </w:rPr>
            </w:r>
            <w:r/>
          </w:p>
        </w:tc>
      </w:tr>
      <w:tr>
        <w:trPr>
          <w:trHeight w:val="573"/>
        </w:trPr>
        <w:tc>
          <w:tcPr>
            <w:gridSpan w:val="2"/>
            <w:tcW w:w="4891" w:type="dxa"/>
            <w:vAlign w:val="top"/>
            <w:textDirection w:val="lrTb"/>
            <w:noWrap w:val="false"/>
          </w:tcPr>
          <w:p>
            <w:pPr>
              <w:pStyle w:val="1198"/>
              <w:ind w:left="1612"/>
              <w:spacing w:before="180" w:line="221" w:lineRule="auto"/>
              <w:rPr>
                <w:lang w:eastAsia="en-US"/>
              </w:rPr>
            </w:pPr>
            <w:r>
              <w:rPr>
                <w:spacing w:val="-1"/>
                <w:lang w:eastAsia="en-US"/>
              </w:rPr>
              <w:t xml:space="preserve">本项目拟担任职务</w:t>
            </w:r>
            <w:r>
              <w:rPr>
                <w:lang w:eastAsia="en-US"/>
              </w:rPr>
            </w:r>
            <w:r/>
          </w:p>
        </w:tc>
        <w:tc>
          <w:tcPr>
            <w:gridSpan w:val="2"/>
            <w:tcW w:w="4730" w:type="dxa"/>
            <w:vAlign w:val="top"/>
            <w:textDirection w:val="lrTb"/>
            <w:noWrap w:val="false"/>
          </w:tcPr>
          <w:p>
            <w:pPr>
              <w:pStyle w:val="1011"/>
              <w:rPr>
                <w:rFonts w:eastAsia="Arial"/>
                <w:lang w:eastAsia="en-US"/>
              </w:rPr>
            </w:pPr>
            <w:r>
              <w:rPr>
                <w:rFonts w:eastAsia="Arial"/>
                <w:lang w:eastAsia="en-US"/>
              </w:rPr>
            </w:r>
            <w:r/>
          </w:p>
        </w:tc>
      </w:tr>
      <w:tr>
        <w:trPr>
          <w:trHeight w:val="570"/>
        </w:trPr>
        <w:tc>
          <w:tcPr>
            <w:gridSpan w:val="4"/>
            <w:tcW w:w="9621" w:type="dxa"/>
            <w:vAlign w:val="top"/>
            <w:textDirection w:val="lrTb"/>
            <w:noWrap w:val="false"/>
          </w:tcPr>
          <w:p>
            <w:pPr>
              <w:pStyle w:val="1198"/>
              <w:ind w:left="4188"/>
              <w:spacing w:before="181" w:line="222" w:lineRule="auto"/>
              <w:rPr>
                <w:lang w:eastAsia="en-US"/>
              </w:rPr>
            </w:pPr>
            <w:r>
              <w:rPr>
                <w:spacing w:val="-2"/>
                <w:lang w:eastAsia="en-US"/>
              </w:rPr>
              <w:t xml:space="preserve">主要工作经历</w:t>
            </w:r>
            <w:r>
              <w:rPr>
                <w:lang w:eastAsia="en-US"/>
              </w:rPr>
            </w:r>
            <w:r/>
          </w:p>
        </w:tc>
      </w:tr>
      <w:tr>
        <w:trPr>
          <w:trHeight w:val="573"/>
        </w:trPr>
        <w:tc>
          <w:tcPr>
            <w:tcW w:w="1631" w:type="dxa"/>
            <w:vAlign w:val="top"/>
            <w:textDirection w:val="lrTb"/>
            <w:noWrap w:val="false"/>
          </w:tcPr>
          <w:p>
            <w:pPr>
              <w:pStyle w:val="1198"/>
              <w:ind w:left="403"/>
              <w:spacing w:before="182" w:line="223" w:lineRule="auto"/>
              <w:rPr>
                <w:lang w:eastAsia="en-US"/>
              </w:rPr>
            </w:pPr>
            <w:r>
              <w:rPr>
                <w:spacing w:val="-2"/>
                <w:lang w:eastAsia="en-US"/>
              </w:rPr>
              <w:t xml:space="preserve">参与时间</w:t>
            </w:r>
            <w:r>
              <w:rPr>
                <w:lang w:eastAsia="en-US"/>
              </w:rPr>
            </w:r>
            <w:r/>
          </w:p>
        </w:tc>
        <w:tc>
          <w:tcPr>
            <w:tcW w:w="3260" w:type="dxa"/>
            <w:vAlign w:val="top"/>
            <w:textDirection w:val="lrTb"/>
            <w:noWrap w:val="false"/>
          </w:tcPr>
          <w:p>
            <w:pPr>
              <w:pStyle w:val="1198"/>
              <w:ind w:left="692"/>
              <w:spacing w:before="182" w:line="221" w:lineRule="auto"/>
              <w:rPr>
                <w:lang w:eastAsia="en-US"/>
              </w:rPr>
            </w:pPr>
            <w:r>
              <w:rPr>
                <w:spacing w:val="-1"/>
                <w:lang w:eastAsia="en-US"/>
              </w:rPr>
              <w:t xml:space="preserve">参与项目名称及规模</w:t>
            </w:r>
            <w:r>
              <w:rPr>
                <w:lang w:eastAsia="en-US"/>
              </w:rPr>
            </w:r>
            <w:r/>
          </w:p>
        </w:tc>
        <w:tc>
          <w:tcPr>
            <w:gridSpan w:val="2"/>
            <w:tcW w:w="4730" w:type="dxa"/>
            <w:vAlign w:val="top"/>
            <w:textDirection w:val="lrTb"/>
            <w:noWrap w:val="false"/>
          </w:tcPr>
          <w:p>
            <w:pPr>
              <w:pStyle w:val="1198"/>
              <w:ind w:left="585"/>
              <w:spacing w:before="182" w:line="221" w:lineRule="auto"/>
            </w:pPr>
            <w:r>
              <w:rPr>
                <w:spacing w:val="-1"/>
              </w:rPr>
              <w:t xml:space="preserve">在该项目中所任职务及其主要工作内容</w:t>
            </w:r>
            <w:r/>
          </w:p>
        </w:tc>
      </w:tr>
      <w:tr>
        <w:trPr>
          <w:trHeight w:val="571"/>
        </w:trPr>
        <w:tc>
          <w:tcPr>
            <w:tcW w:w="1631" w:type="dxa"/>
            <w:vAlign w:val="top"/>
            <w:textDirection w:val="lrTb"/>
            <w:noWrap w:val="false"/>
          </w:tcPr>
          <w:p>
            <w:pPr>
              <w:pStyle w:val="1011"/>
              <w:rPr>
                <w:rFonts w:eastAsia="Arial"/>
              </w:rPr>
            </w:pPr>
            <w:r>
              <w:rPr>
                <w:rFonts w:eastAsia="Arial"/>
              </w:rPr>
            </w:r>
            <w:r/>
          </w:p>
        </w:tc>
        <w:tc>
          <w:tcPr>
            <w:tcW w:w="3260" w:type="dxa"/>
            <w:vAlign w:val="top"/>
            <w:textDirection w:val="lrTb"/>
            <w:noWrap w:val="false"/>
          </w:tcPr>
          <w:p>
            <w:pPr>
              <w:pStyle w:val="1011"/>
              <w:rPr>
                <w:rFonts w:eastAsia="Arial"/>
              </w:rPr>
            </w:pPr>
            <w:r>
              <w:rPr>
                <w:rFonts w:eastAsia="Arial"/>
              </w:rPr>
            </w:r>
            <w:r/>
          </w:p>
        </w:tc>
        <w:tc>
          <w:tcPr>
            <w:gridSpan w:val="2"/>
            <w:tcW w:w="4730" w:type="dxa"/>
            <w:vAlign w:val="top"/>
            <w:textDirection w:val="lrTb"/>
            <w:noWrap w:val="false"/>
          </w:tcPr>
          <w:p>
            <w:pPr>
              <w:pStyle w:val="1011"/>
              <w:rPr>
                <w:rFonts w:eastAsia="Arial"/>
              </w:rPr>
            </w:pPr>
            <w:r>
              <w:rPr>
                <w:rFonts w:eastAsia="Arial"/>
              </w:rPr>
            </w:r>
            <w:r/>
          </w:p>
        </w:tc>
      </w:tr>
      <w:tr>
        <w:trPr>
          <w:trHeight w:val="571"/>
        </w:trPr>
        <w:tc>
          <w:tcPr>
            <w:gridSpan w:val="2"/>
            <w:tcW w:w="4891" w:type="dxa"/>
            <w:vAlign w:val="top"/>
            <w:textDirection w:val="lrTb"/>
            <w:noWrap w:val="false"/>
          </w:tcPr>
          <w:p>
            <w:pPr>
              <w:pStyle w:val="1198"/>
              <w:ind w:left="1405"/>
              <w:spacing w:before="182" w:line="221" w:lineRule="auto"/>
            </w:pPr>
            <w:r>
              <w:rPr>
                <w:spacing w:val="-1"/>
              </w:rPr>
              <w:t xml:space="preserve">获得的荣誉或评定情况</w:t>
            </w:r>
            <w:r/>
          </w:p>
        </w:tc>
        <w:tc>
          <w:tcPr>
            <w:gridSpan w:val="2"/>
            <w:tcW w:w="4730" w:type="dxa"/>
            <w:vAlign w:val="top"/>
            <w:textDirection w:val="lrTb"/>
            <w:noWrap w:val="false"/>
          </w:tcPr>
          <w:p>
            <w:pPr>
              <w:pStyle w:val="1198"/>
              <w:ind w:left="1219"/>
              <w:spacing w:before="182" w:line="221" w:lineRule="auto"/>
            </w:pPr>
            <w:r>
              <w:rPr>
                <w:b/>
                <w:bCs/>
                <w:spacing w:val="-4"/>
              </w:rPr>
              <w:t xml:space="preserve">（如有须提供证明材料）</w:t>
            </w:r>
            <w:r/>
          </w:p>
        </w:tc>
      </w:tr>
      <w:tr>
        <w:trPr>
          <w:trHeight w:val="1259"/>
        </w:trPr>
        <w:tc>
          <w:tcPr>
            <w:gridSpan w:val="2"/>
            <w:tcW w:w="4891" w:type="dxa"/>
            <w:vAlign w:val="top"/>
            <w:textDirection w:val="lrTb"/>
            <w:noWrap w:val="false"/>
          </w:tcPr>
          <w:p>
            <w:pPr>
              <w:pStyle w:val="1011"/>
              <w:spacing w:line="452" w:lineRule="auto"/>
              <w:rPr>
                <w:rFonts w:eastAsia="Arial"/>
              </w:rPr>
            </w:pPr>
            <w:r>
              <w:rPr>
                <w:rFonts w:eastAsia="Arial"/>
              </w:rPr>
            </w:r>
            <w:r/>
          </w:p>
          <w:p>
            <w:pPr>
              <w:pStyle w:val="1198"/>
              <w:ind w:left="1403"/>
              <w:spacing w:before="69" w:line="221" w:lineRule="auto"/>
            </w:pPr>
            <w:r>
              <w:rPr>
                <w:spacing w:val="-1"/>
              </w:rPr>
              <w:t xml:space="preserve">其他需补充说明的内容</w:t>
            </w:r>
            <w:r/>
          </w:p>
        </w:tc>
        <w:tc>
          <w:tcPr>
            <w:gridSpan w:val="2"/>
            <w:tcW w:w="4730" w:type="dxa"/>
            <w:vAlign w:val="top"/>
            <w:textDirection w:val="lrTb"/>
            <w:noWrap w:val="false"/>
          </w:tcPr>
          <w:p>
            <w:pPr>
              <w:pStyle w:val="1198"/>
              <w:ind w:left="117"/>
              <w:spacing w:before="57" w:line="221" w:lineRule="auto"/>
            </w:pPr>
            <w:r>
              <w:rPr>
                <w:spacing w:val="-1"/>
              </w:rPr>
              <w:t xml:space="preserve">本公司承诺：</w:t>
            </w:r>
            <w:r/>
          </w:p>
          <w:p>
            <w:pPr>
              <w:pStyle w:val="1198"/>
              <w:ind w:left="119" w:right="203"/>
              <w:spacing w:before="137" w:line="353" w:lineRule="auto"/>
            </w:pPr>
            <w:r>
              <w:rPr>
                <w:spacing w:val="-1"/>
              </w:rPr>
              <w:t xml:space="preserve">该人员在从业经历中没有任何违法、违规而被查</w:t>
            </w:r>
            <w:r>
              <w:rPr>
                <w:spacing w:val="-4"/>
              </w:rPr>
              <w:t xml:space="preserve">处的不良记录。</w:t>
            </w:r>
            <w:r/>
          </w:p>
        </w:tc>
      </w:tr>
    </w:tbl>
    <w:p>
      <w:pPr>
        <w:pStyle w:val="1182"/>
        <w:spacing w:line="304" w:lineRule="auto"/>
      </w:pPr>
      <w:r/>
      <w:r/>
    </w:p>
    <w:p>
      <w:pPr>
        <w:pStyle w:val="1182"/>
        <w:spacing w:line="304" w:lineRule="auto"/>
      </w:pPr>
      <w:r/>
      <w:r/>
    </w:p>
    <w:p>
      <w:pPr>
        <w:pStyle w:val="1182"/>
        <w:spacing w:line="305" w:lineRule="auto"/>
      </w:pPr>
      <w:r/>
      <w:r/>
    </w:p>
    <w:p>
      <w:pPr>
        <w:pStyle w:val="1011"/>
        <w:ind w:left="459"/>
        <w:spacing w:before="68" w:line="221" w:lineRule="auto"/>
        <w:rPr>
          <w:rFonts w:ascii="宋体" w:hAnsi="宋体" w:cs="宋体"/>
        </w:rPr>
      </w:pPr>
      <w:r>
        <w:rPr>
          <w:rFonts w:ascii="宋体" w:hAnsi="宋体" w:cs="宋体"/>
          <w:spacing w:val="-4"/>
        </w:rPr>
        <w:t xml:space="preserve">投标人（公章</w:t>
      </w:r>
      <w:r>
        <w:rPr>
          <w:rFonts w:ascii="宋体" w:hAnsi="宋体" w:cs="宋体"/>
          <w:spacing w:val="1"/>
        </w:rPr>
        <w:t xml:space="preserve">）：</w:t>
      </w:r>
      <w:r>
        <w:rPr>
          <w:rFonts w:ascii="宋体" w:hAnsi="宋体" w:cs="宋体"/>
        </w:rPr>
      </w:r>
      <w:r/>
    </w:p>
    <w:p>
      <w:pPr>
        <w:pStyle w:val="1011"/>
        <w:ind w:left="457"/>
        <w:spacing w:before="190" w:line="221" w:lineRule="auto"/>
        <w:rPr>
          <w:rFonts w:ascii="宋体" w:hAnsi="宋体" w:cs="宋体"/>
        </w:rPr>
      </w:pPr>
      <w:r>
        <w:rPr>
          <w:rFonts w:ascii="宋体" w:hAnsi="宋体" w:cs="宋体"/>
          <w:spacing w:val="-1"/>
        </w:rPr>
        <w:t xml:space="preserve">法定代表人或代理人（签字或盖章</w:t>
      </w:r>
      <w:r>
        <w:rPr>
          <w:rFonts w:ascii="宋体" w:hAnsi="宋体" w:cs="宋体"/>
          <w:spacing w:val="4"/>
        </w:rPr>
        <w:t xml:space="preserve">）：</w:t>
      </w:r>
      <w:r>
        <w:rPr>
          <w:rFonts w:ascii="宋体" w:hAnsi="宋体" w:cs="宋体"/>
        </w:rPr>
      </w:r>
      <w:r/>
    </w:p>
    <w:p>
      <w:pPr>
        <w:pStyle w:val="1011"/>
        <w:ind w:left="493"/>
        <w:spacing w:before="188" w:line="221" w:lineRule="auto"/>
        <w:rPr>
          <w:rFonts w:ascii="宋体" w:hAnsi="宋体" w:cs="宋体"/>
        </w:rPr>
      </w:pPr>
      <w:r>
        <w:rPr>
          <w:rFonts w:ascii="宋体" w:hAnsi="宋体" w:cs="宋体"/>
          <w:spacing w:val="-11"/>
        </w:rPr>
        <w:t xml:space="preserve">日期：年月日</w:t>
      </w:r>
      <w:bookmarkEnd w:id="87"/>
      <w:r>
        <w:rPr>
          <w:rFonts w:ascii="宋体" w:hAnsi="宋体" w:cs="宋体"/>
        </w:rPr>
      </w:r>
      <w:r/>
    </w:p>
    <w:p>
      <w:pPr>
        <w:pStyle w:val="1011"/>
        <w:spacing w:line="221" w:lineRule="auto"/>
        <w:rPr>
          <w:rFonts w:ascii="宋体" w:hAnsi="宋体" w:cs="宋体"/>
        </w:rPr>
        <w:sectPr>
          <w:footnotePr/>
          <w:endnotePr/>
          <w:type w:val="nextPage"/>
          <w:pgSz w:w="11907" w:h="16839" w:orient="portrait"/>
          <w:pgMar w:top="921" w:right="1106" w:bottom="676" w:left="1104" w:header="601" w:footer="511" w:gutter="0"/>
          <w:cols w:num="1" w:sep="0" w:space="720" w:equalWidth="1"/>
          <w:docGrid w:linePitch="360"/>
        </w:sectPr>
      </w:pPr>
      <w:r>
        <w:rPr>
          <w:rFonts w:ascii="宋体" w:hAnsi="宋体" w:cs="宋体"/>
        </w:rPr>
      </w:r>
      <w:r/>
    </w:p>
    <w:p>
      <w:pPr>
        <w:pStyle w:val="1011"/>
        <w:ind w:left="37"/>
        <w:spacing w:before="156" w:line="221" w:lineRule="auto"/>
        <w:rPr>
          <w:rFonts w:ascii="宋体" w:hAnsi="宋体" w:cs="宋体"/>
        </w:rPr>
      </w:pPr>
      <w:r/>
      <w:bookmarkStart w:id="88" w:name="OLE_LINK83"/>
      <w:r>
        <w:rPr>
          <w:rFonts w:ascii="宋体" w:hAnsi="宋体" w:cs="宋体"/>
          <w:b/>
          <w:bCs/>
          <w:spacing w:val="-3"/>
        </w:rPr>
        <w:t xml:space="preserve">格式1</w:t>
      </w:r>
      <w:r>
        <w:rPr>
          <w:rFonts w:hint="eastAsia" w:ascii="宋体" w:hAnsi="宋体" w:cs="宋体"/>
          <w:b/>
          <w:bCs/>
          <w:spacing w:val="-3"/>
        </w:rPr>
        <w:t xml:space="preserve">6</w:t>
      </w:r>
      <w:r>
        <w:rPr>
          <w:rFonts w:ascii="宋体" w:hAnsi="宋体" w:cs="宋体"/>
          <w:b/>
          <w:bCs/>
          <w:spacing w:val="-3"/>
        </w:rPr>
        <w:t xml:space="preserve">、拟投入本项目主要设备一览表</w:t>
      </w:r>
      <w:r>
        <w:rPr>
          <w:rFonts w:ascii="宋体" w:hAnsi="宋体" w:cs="宋体"/>
        </w:rPr>
      </w:r>
      <w:r/>
    </w:p>
    <w:p>
      <w:pPr>
        <w:pStyle w:val="1182"/>
        <w:spacing w:line="309" w:lineRule="auto"/>
      </w:pPr>
      <w:r/>
      <w:r/>
    </w:p>
    <w:p>
      <w:pPr>
        <w:pStyle w:val="1011"/>
        <w:ind w:left="3485"/>
        <w:spacing w:before="68" w:line="221" w:lineRule="auto"/>
        <w:rPr>
          <w:rFonts w:ascii="宋体" w:hAnsi="宋体" w:cs="宋体"/>
        </w:rPr>
      </w:pPr>
      <w:r>
        <w:rPr>
          <w:rFonts w:ascii="宋体" w:hAnsi="宋体" w:cs="宋体"/>
          <w:b/>
          <w:bCs/>
          <w:spacing w:val="-3"/>
        </w:rPr>
        <w:t xml:space="preserve">拟投入本项目主要设备一览表</w:t>
      </w:r>
      <w:r>
        <w:rPr>
          <w:rFonts w:ascii="宋体" w:hAnsi="宋体" w:cs="宋体"/>
        </w:rPr>
      </w:r>
      <w:r/>
    </w:p>
    <w:p>
      <w:pPr>
        <w:pStyle w:val="1011"/>
        <w:spacing w:before="80"/>
      </w:pPr>
      <w:r/>
      <w:r/>
    </w:p>
    <w:tbl>
      <w:tblPr>
        <w:tblW w:w="9681"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94"/>
        <w:gridCol w:w="1841"/>
        <w:gridCol w:w="2266"/>
        <w:gridCol w:w="1426"/>
        <w:gridCol w:w="981"/>
        <w:gridCol w:w="2273"/>
      </w:tblGrid>
      <w:tr>
        <w:trPr>
          <w:trHeight w:val="810"/>
        </w:trPr>
        <w:tc>
          <w:tcPr>
            <w:tcW w:w="894" w:type="dxa"/>
            <w:vAlign w:val="top"/>
            <w:textDirection w:val="lrTb"/>
            <w:noWrap w:val="false"/>
          </w:tcPr>
          <w:p>
            <w:pPr>
              <w:pStyle w:val="1011"/>
              <w:spacing w:line="292" w:lineRule="auto"/>
              <w:rPr>
                <w:rFonts w:eastAsia="Arial"/>
              </w:rPr>
            </w:pPr>
            <w:r>
              <w:rPr>
                <w:rFonts w:eastAsia="Arial"/>
              </w:rPr>
            </w:r>
            <w:r/>
          </w:p>
          <w:p>
            <w:pPr>
              <w:pStyle w:val="1198"/>
              <w:ind w:left="239"/>
              <w:spacing w:before="68" w:line="223" w:lineRule="auto"/>
              <w:rPr>
                <w:lang w:eastAsia="en-US"/>
              </w:rPr>
            </w:pPr>
            <w:r>
              <w:rPr>
                <w:spacing w:val="-2"/>
                <w:lang w:eastAsia="en-US"/>
              </w:rPr>
              <w:t xml:space="preserve">序号</w:t>
            </w:r>
            <w:r>
              <w:rPr>
                <w:lang w:eastAsia="en-US"/>
              </w:rPr>
            </w:r>
            <w:r/>
          </w:p>
        </w:tc>
        <w:tc>
          <w:tcPr>
            <w:tcW w:w="1841" w:type="dxa"/>
            <w:vAlign w:val="top"/>
            <w:textDirection w:val="lrTb"/>
            <w:noWrap w:val="false"/>
          </w:tcPr>
          <w:p>
            <w:pPr>
              <w:pStyle w:val="1011"/>
              <w:spacing w:line="293" w:lineRule="auto"/>
              <w:rPr>
                <w:rFonts w:eastAsia="Arial"/>
                <w:lang w:eastAsia="en-US"/>
              </w:rPr>
            </w:pPr>
            <w:r>
              <w:rPr>
                <w:rFonts w:eastAsia="Arial"/>
                <w:lang w:eastAsia="en-US"/>
              </w:rPr>
            </w:r>
            <w:r/>
          </w:p>
          <w:p>
            <w:pPr>
              <w:pStyle w:val="1198"/>
              <w:ind w:left="712"/>
              <w:spacing w:before="68" w:line="223" w:lineRule="auto"/>
              <w:rPr>
                <w:lang w:eastAsia="en-US"/>
              </w:rPr>
            </w:pPr>
            <w:r>
              <w:rPr>
                <w:spacing w:val="-3"/>
                <w:lang w:eastAsia="en-US"/>
              </w:rPr>
              <w:t xml:space="preserve">名称</w:t>
            </w:r>
            <w:r>
              <w:rPr>
                <w:lang w:eastAsia="en-US"/>
              </w:rPr>
            </w:r>
            <w:r/>
          </w:p>
        </w:tc>
        <w:tc>
          <w:tcPr>
            <w:tcBorders>
              <w:bottom w:val="single" w:color="000000" w:sz="2" w:space="0"/>
            </w:tcBorders>
            <w:tcW w:w="2266" w:type="dxa"/>
            <w:vAlign w:val="top"/>
            <w:textDirection w:val="lrTb"/>
            <w:noWrap w:val="false"/>
          </w:tcPr>
          <w:p>
            <w:pPr>
              <w:pStyle w:val="1011"/>
              <w:spacing w:line="293" w:lineRule="auto"/>
              <w:rPr>
                <w:rFonts w:eastAsia="Arial"/>
                <w:lang w:eastAsia="en-US"/>
              </w:rPr>
            </w:pPr>
            <w:r>
              <w:rPr>
                <w:rFonts w:eastAsia="Arial"/>
                <w:lang w:eastAsia="en-US"/>
              </w:rPr>
            </w:r>
            <w:r/>
          </w:p>
          <w:p>
            <w:pPr>
              <w:pStyle w:val="1198"/>
              <w:ind w:left="615"/>
              <w:spacing w:before="68" w:line="221" w:lineRule="auto"/>
              <w:rPr>
                <w:lang w:eastAsia="en-US"/>
              </w:rPr>
            </w:pPr>
            <w:r>
              <w:rPr>
                <w:spacing w:val="-3"/>
                <w:lang w:eastAsia="en-US"/>
              </w:rPr>
              <w:t xml:space="preserve">型号、规格</w:t>
            </w:r>
            <w:r>
              <w:rPr>
                <w:lang w:eastAsia="en-US"/>
              </w:rPr>
            </w:r>
            <w:r/>
          </w:p>
        </w:tc>
        <w:tc>
          <w:tcPr>
            <w:tcBorders>
              <w:right w:val="single" w:color="000000" w:sz="2" w:space="0"/>
            </w:tcBorders>
            <w:tcW w:w="1426" w:type="dxa"/>
            <w:vAlign w:val="top"/>
            <w:textDirection w:val="lrTb"/>
            <w:noWrap w:val="false"/>
          </w:tcPr>
          <w:p>
            <w:pPr>
              <w:pStyle w:val="1011"/>
              <w:spacing w:line="292" w:lineRule="auto"/>
              <w:rPr>
                <w:rFonts w:eastAsia="Arial"/>
                <w:lang w:eastAsia="en-US"/>
              </w:rPr>
            </w:pPr>
            <w:r>
              <w:rPr>
                <w:rFonts w:eastAsia="Arial"/>
                <w:lang w:eastAsia="en-US"/>
              </w:rPr>
            </w:r>
            <w:r/>
          </w:p>
          <w:p>
            <w:pPr>
              <w:pStyle w:val="1198"/>
              <w:ind w:left="509"/>
              <w:spacing w:before="69" w:line="222" w:lineRule="auto"/>
              <w:rPr>
                <w:lang w:eastAsia="en-US"/>
              </w:rPr>
            </w:pPr>
            <w:r>
              <w:rPr>
                <w:spacing w:val="-2"/>
                <w:lang w:eastAsia="en-US"/>
              </w:rPr>
              <w:t xml:space="preserve">单位</w:t>
            </w:r>
            <w:r>
              <w:rPr>
                <w:lang w:eastAsia="en-US"/>
              </w:rPr>
            </w:r>
            <w:r/>
          </w:p>
        </w:tc>
        <w:tc>
          <w:tcPr>
            <w:tcBorders>
              <w:left w:val="single" w:color="000000" w:sz="2" w:space="0"/>
            </w:tcBorders>
            <w:tcW w:w="981" w:type="dxa"/>
            <w:vAlign w:val="top"/>
            <w:textDirection w:val="lrTb"/>
            <w:noWrap w:val="false"/>
          </w:tcPr>
          <w:p>
            <w:pPr>
              <w:pStyle w:val="1011"/>
              <w:spacing w:line="293" w:lineRule="auto"/>
              <w:rPr>
                <w:rFonts w:eastAsia="Arial"/>
                <w:lang w:eastAsia="en-US"/>
              </w:rPr>
            </w:pPr>
            <w:r>
              <w:rPr>
                <w:rFonts w:eastAsia="Arial"/>
                <w:lang w:eastAsia="en-US"/>
              </w:rPr>
            </w:r>
            <w:r/>
          </w:p>
          <w:p>
            <w:pPr>
              <w:pStyle w:val="1198"/>
              <w:ind w:left="290"/>
              <w:spacing w:before="68" w:line="221" w:lineRule="auto"/>
              <w:rPr>
                <w:lang w:eastAsia="en-US"/>
              </w:rPr>
            </w:pPr>
            <w:r>
              <w:rPr>
                <w:spacing w:val="-2"/>
                <w:lang w:eastAsia="en-US"/>
              </w:rPr>
              <w:t xml:space="preserve">数量</w:t>
            </w:r>
            <w:r>
              <w:rPr>
                <w:lang w:eastAsia="en-US"/>
              </w:rPr>
            </w:r>
            <w:r/>
          </w:p>
        </w:tc>
        <w:tc>
          <w:tcPr>
            <w:tcW w:w="2273" w:type="dxa"/>
            <w:vAlign w:val="top"/>
            <w:textDirection w:val="lrTb"/>
            <w:noWrap w:val="false"/>
          </w:tcPr>
          <w:p>
            <w:pPr>
              <w:pStyle w:val="1198"/>
              <w:ind w:left="933"/>
              <w:spacing w:before="161" w:line="223" w:lineRule="auto"/>
            </w:pPr>
            <w:r>
              <w:rPr>
                <w:spacing w:val="-3"/>
              </w:rPr>
              <w:t xml:space="preserve">备注</w:t>
            </w:r>
            <w:r/>
          </w:p>
          <w:p>
            <w:pPr>
              <w:pStyle w:val="1198"/>
              <w:ind w:left="200"/>
              <w:spacing w:before="147" w:line="209" w:lineRule="auto"/>
            </w:pPr>
            <w:r>
              <w:rPr>
                <w:spacing w:val="-2"/>
              </w:rPr>
              <w:t xml:space="preserve">（自有/租赁/新购）</w:t>
            </w:r>
            <w:r/>
          </w:p>
        </w:tc>
      </w:tr>
      <w:tr>
        <w:trPr>
          <w:trHeight w:val="404"/>
        </w:trPr>
        <w:tc>
          <w:tcPr>
            <w:tcW w:w="894" w:type="dxa"/>
            <w:vAlign w:val="top"/>
            <w:textDirection w:val="lrTb"/>
            <w:noWrap w:val="false"/>
          </w:tcPr>
          <w:p>
            <w:pPr>
              <w:pStyle w:val="1011"/>
              <w:rPr>
                <w:rFonts w:eastAsia="Arial"/>
              </w:rPr>
            </w:pPr>
            <w:r>
              <w:rPr>
                <w:rFonts w:eastAsia="Arial"/>
              </w:rPr>
            </w:r>
            <w:r/>
          </w:p>
        </w:tc>
        <w:tc>
          <w:tcPr>
            <w:tcW w:w="1841" w:type="dxa"/>
            <w:vAlign w:val="top"/>
            <w:textDirection w:val="lrTb"/>
            <w:noWrap w:val="false"/>
          </w:tcPr>
          <w:p>
            <w:pPr>
              <w:pStyle w:val="1011"/>
              <w:rPr>
                <w:rFonts w:eastAsia="Arial"/>
              </w:rPr>
            </w:pPr>
            <w:r>
              <w:rPr>
                <w:rFonts w:eastAsia="Arial"/>
              </w:rPr>
            </w:r>
            <w:r/>
          </w:p>
        </w:tc>
        <w:tc>
          <w:tcPr>
            <w:tcBorders>
              <w:top w:val="single" w:color="000000" w:sz="2" w:space="0"/>
            </w:tcBorders>
            <w:tcW w:w="2266" w:type="dxa"/>
            <w:vAlign w:val="top"/>
            <w:textDirection w:val="lrTb"/>
            <w:noWrap w:val="false"/>
          </w:tcPr>
          <w:p>
            <w:pPr>
              <w:pStyle w:val="1011"/>
              <w:rPr>
                <w:rFonts w:eastAsia="Arial"/>
              </w:rPr>
            </w:pPr>
            <w:r>
              <w:rPr>
                <w:rFonts w:eastAsia="Arial"/>
              </w:rPr>
            </w:r>
            <w:r/>
          </w:p>
        </w:tc>
        <w:tc>
          <w:tcPr>
            <w:tcBorders>
              <w:right w:val="single" w:color="000000" w:sz="2" w:space="0"/>
            </w:tcBorders>
            <w:tcW w:w="1426" w:type="dxa"/>
            <w:vAlign w:val="top"/>
            <w:textDirection w:val="lrTb"/>
            <w:noWrap w:val="false"/>
          </w:tcPr>
          <w:p>
            <w:pPr>
              <w:pStyle w:val="1011"/>
              <w:rPr>
                <w:rFonts w:eastAsia="Arial"/>
              </w:rPr>
            </w:pPr>
            <w:r>
              <w:rPr>
                <w:rFonts w:eastAsia="Arial"/>
              </w:rPr>
            </w:r>
            <w:r/>
          </w:p>
        </w:tc>
        <w:tc>
          <w:tcPr>
            <w:tcBorders>
              <w:left w:val="single" w:color="000000" w:sz="2" w:space="0"/>
            </w:tcBorders>
            <w:tcW w:w="981" w:type="dxa"/>
            <w:vAlign w:val="top"/>
            <w:textDirection w:val="lrTb"/>
            <w:noWrap w:val="false"/>
          </w:tcPr>
          <w:p>
            <w:pPr>
              <w:pStyle w:val="1011"/>
              <w:rPr>
                <w:rFonts w:eastAsia="Arial"/>
              </w:rPr>
            </w:pPr>
            <w:r>
              <w:rPr>
                <w:rFonts w:eastAsia="Arial"/>
              </w:rPr>
            </w:r>
            <w:r/>
          </w:p>
        </w:tc>
        <w:tc>
          <w:tcPr>
            <w:tcW w:w="2273" w:type="dxa"/>
            <w:vAlign w:val="top"/>
            <w:textDirection w:val="lrTb"/>
            <w:noWrap w:val="false"/>
          </w:tcPr>
          <w:p>
            <w:pPr>
              <w:pStyle w:val="1011"/>
              <w:rPr>
                <w:rFonts w:eastAsia="Arial"/>
              </w:rPr>
            </w:pPr>
            <w:r>
              <w:rPr>
                <w:rFonts w:eastAsia="Arial"/>
              </w:rPr>
            </w:r>
            <w:r/>
          </w:p>
        </w:tc>
      </w:tr>
      <w:tr>
        <w:trPr>
          <w:trHeight w:val="404"/>
        </w:trPr>
        <w:tc>
          <w:tcPr>
            <w:tcW w:w="894" w:type="dxa"/>
            <w:vAlign w:val="top"/>
            <w:textDirection w:val="lrTb"/>
            <w:noWrap w:val="false"/>
          </w:tcPr>
          <w:p>
            <w:pPr>
              <w:pStyle w:val="1011"/>
              <w:rPr>
                <w:rFonts w:eastAsia="Arial"/>
              </w:rPr>
            </w:pPr>
            <w:r>
              <w:rPr>
                <w:rFonts w:eastAsia="Arial"/>
              </w:rPr>
            </w:r>
            <w:r/>
          </w:p>
        </w:tc>
        <w:tc>
          <w:tcPr>
            <w:tcW w:w="1841" w:type="dxa"/>
            <w:vAlign w:val="top"/>
            <w:textDirection w:val="lrTb"/>
            <w:noWrap w:val="false"/>
          </w:tcPr>
          <w:p>
            <w:pPr>
              <w:pStyle w:val="1011"/>
              <w:rPr>
                <w:rFonts w:eastAsia="Arial"/>
              </w:rPr>
            </w:pPr>
            <w:r>
              <w:rPr>
                <w:rFonts w:eastAsia="Arial"/>
              </w:rPr>
            </w:r>
            <w:r/>
          </w:p>
        </w:tc>
        <w:tc>
          <w:tcPr>
            <w:tcW w:w="2266" w:type="dxa"/>
            <w:vAlign w:val="top"/>
            <w:textDirection w:val="lrTb"/>
            <w:noWrap w:val="false"/>
          </w:tcPr>
          <w:p>
            <w:pPr>
              <w:pStyle w:val="1011"/>
              <w:rPr>
                <w:rFonts w:eastAsia="Arial"/>
              </w:rPr>
            </w:pPr>
            <w:r>
              <w:rPr>
                <w:rFonts w:eastAsia="Arial"/>
              </w:rPr>
            </w:r>
            <w:r/>
          </w:p>
        </w:tc>
        <w:tc>
          <w:tcPr>
            <w:tcBorders>
              <w:right w:val="single" w:color="000000" w:sz="2" w:space="0"/>
            </w:tcBorders>
            <w:tcW w:w="1426" w:type="dxa"/>
            <w:vAlign w:val="top"/>
            <w:textDirection w:val="lrTb"/>
            <w:noWrap w:val="false"/>
          </w:tcPr>
          <w:p>
            <w:pPr>
              <w:pStyle w:val="1011"/>
              <w:rPr>
                <w:rFonts w:eastAsia="Arial"/>
              </w:rPr>
            </w:pPr>
            <w:r>
              <w:rPr>
                <w:rFonts w:eastAsia="Arial"/>
              </w:rPr>
            </w:r>
            <w:r/>
          </w:p>
        </w:tc>
        <w:tc>
          <w:tcPr>
            <w:tcBorders>
              <w:left w:val="single" w:color="000000" w:sz="2" w:space="0"/>
            </w:tcBorders>
            <w:tcW w:w="981" w:type="dxa"/>
            <w:vAlign w:val="top"/>
            <w:textDirection w:val="lrTb"/>
            <w:noWrap w:val="false"/>
          </w:tcPr>
          <w:p>
            <w:pPr>
              <w:pStyle w:val="1011"/>
              <w:rPr>
                <w:rFonts w:eastAsia="Arial"/>
              </w:rPr>
            </w:pPr>
            <w:r>
              <w:rPr>
                <w:rFonts w:eastAsia="Arial"/>
              </w:rPr>
            </w:r>
            <w:r/>
          </w:p>
        </w:tc>
        <w:tc>
          <w:tcPr>
            <w:tcW w:w="2273" w:type="dxa"/>
            <w:vAlign w:val="top"/>
            <w:textDirection w:val="lrTb"/>
            <w:noWrap w:val="false"/>
          </w:tcPr>
          <w:p>
            <w:pPr>
              <w:pStyle w:val="1011"/>
              <w:rPr>
                <w:rFonts w:eastAsia="Arial"/>
              </w:rPr>
            </w:pPr>
            <w:r>
              <w:rPr>
                <w:rFonts w:eastAsia="Arial"/>
              </w:rPr>
            </w:r>
            <w:r/>
          </w:p>
        </w:tc>
      </w:tr>
      <w:tr>
        <w:trPr>
          <w:trHeight w:val="404"/>
        </w:trPr>
        <w:tc>
          <w:tcPr>
            <w:tcW w:w="894" w:type="dxa"/>
            <w:vAlign w:val="top"/>
            <w:textDirection w:val="lrTb"/>
            <w:noWrap w:val="false"/>
          </w:tcPr>
          <w:p>
            <w:pPr>
              <w:pStyle w:val="1011"/>
              <w:rPr>
                <w:rFonts w:eastAsia="Arial"/>
              </w:rPr>
            </w:pPr>
            <w:r>
              <w:rPr>
                <w:rFonts w:eastAsia="Arial"/>
              </w:rPr>
            </w:r>
            <w:r/>
          </w:p>
        </w:tc>
        <w:tc>
          <w:tcPr>
            <w:tcW w:w="1841" w:type="dxa"/>
            <w:vAlign w:val="top"/>
            <w:textDirection w:val="lrTb"/>
            <w:noWrap w:val="false"/>
          </w:tcPr>
          <w:p>
            <w:pPr>
              <w:pStyle w:val="1011"/>
              <w:rPr>
                <w:rFonts w:eastAsia="Arial"/>
              </w:rPr>
            </w:pPr>
            <w:r>
              <w:rPr>
                <w:rFonts w:eastAsia="Arial"/>
              </w:rPr>
            </w:r>
            <w:r/>
          </w:p>
        </w:tc>
        <w:tc>
          <w:tcPr>
            <w:tcW w:w="2266" w:type="dxa"/>
            <w:vAlign w:val="top"/>
            <w:textDirection w:val="lrTb"/>
            <w:noWrap w:val="false"/>
          </w:tcPr>
          <w:p>
            <w:pPr>
              <w:pStyle w:val="1011"/>
              <w:rPr>
                <w:rFonts w:eastAsia="Arial"/>
              </w:rPr>
            </w:pPr>
            <w:r>
              <w:rPr>
                <w:rFonts w:eastAsia="Arial"/>
              </w:rPr>
            </w:r>
            <w:r/>
          </w:p>
        </w:tc>
        <w:tc>
          <w:tcPr>
            <w:tcBorders>
              <w:right w:val="single" w:color="000000" w:sz="2" w:space="0"/>
            </w:tcBorders>
            <w:tcW w:w="1426" w:type="dxa"/>
            <w:vAlign w:val="top"/>
            <w:textDirection w:val="lrTb"/>
            <w:noWrap w:val="false"/>
          </w:tcPr>
          <w:p>
            <w:pPr>
              <w:pStyle w:val="1011"/>
              <w:rPr>
                <w:rFonts w:eastAsia="Arial"/>
              </w:rPr>
            </w:pPr>
            <w:r>
              <w:rPr>
                <w:rFonts w:eastAsia="Arial"/>
              </w:rPr>
            </w:r>
            <w:r/>
          </w:p>
        </w:tc>
        <w:tc>
          <w:tcPr>
            <w:tcBorders>
              <w:left w:val="single" w:color="000000" w:sz="2" w:space="0"/>
            </w:tcBorders>
            <w:tcW w:w="981" w:type="dxa"/>
            <w:vAlign w:val="top"/>
            <w:textDirection w:val="lrTb"/>
            <w:noWrap w:val="false"/>
          </w:tcPr>
          <w:p>
            <w:pPr>
              <w:pStyle w:val="1011"/>
              <w:rPr>
                <w:rFonts w:eastAsia="Arial"/>
              </w:rPr>
            </w:pPr>
            <w:r>
              <w:rPr>
                <w:rFonts w:eastAsia="Arial"/>
              </w:rPr>
            </w:r>
            <w:r/>
          </w:p>
        </w:tc>
        <w:tc>
          <w:tcPr>
            <w:tcW w:w="2273" w:type="dxa"/>
            <w:vAlign w:val="top"/>
            <w:textDirection w:val="lrTb"/>
            <w:noWrap w:val="false"/>
          </w:tcPr>
          <w:p>
            <w:pPr>
              <w:pStyle w:val="1011"/>
              <w:rPr>
                <w:rFonts w:eastAsia="Arial"/>
              </w:rPr>
            </w:pPr>
            <w:r>
              <w:rPr>
                <w:rFonts w:eastAsia="Arial"/>
              </w:rPr>
            </w:r>
            <w:r/>
          </w:p>
        </w:tc>
      </w:tr>
      <w:tr>
        <w:trPr>
          <w:trHeight w:val="402"/>
        </w:trPr>
        <w:tc>
          <w:tcPr>
            <w:tcW w:w="894" w:type="dxa"/>
            <w:vAlign w:val="top"/>
            <w:textDirection w:val="lrTb"/>
            <w:noWrap w:val="false"/>
          </w:tcPr>
          <w:p>
            <w:pPr>
              <w:pStyle w:val="1011"/>
              <w:rPr>
                <w:rFonts w:eastAsia="Arial"/>
              </w:rPr>
            </w:pPr>
            <w:r>
              <w:rPr>
                <w:rFonts w:eastAsia="Arial"/>
              </w:rPr>
            </w:r>
            <w:r/>
          </w:p>
        </w:tc>
        <w:tc>
          <w:tcPr>
            <w:tcW w:w="1841" w:type="dxa"/>
            <w:vAlign w:val="top"/>
            <w:textDirection w:val="lrTb"/>
            <w:noWrap w:val="false"/>
          </w:tcPr>
          <w:p>
            <w:pPr>
              <w:pStyle w:val="1011"/>
              <w:rPr>
                <w:rFonts w:eastAsia="Arial"/>
              </w:rPr>
            </w:pPr>
            <w:r>
              <w:rPr>
                <w:rFonts w:eastAsia="Arial"/>
              </w:rPr>
            </w:r>
            <w:r/>
          </w:p>
        </w:tc>
        <w:tc>
          <w:tcPr>
            <w:tcW w:w="2266" w:type="dxa"/>
            <w:vAlign w:val="top"/>
            <w:textDirection w:val="lrTb"/>
            <w:noWrap w:val="false"/>
          </w:tcPr>
          <w:p>
            <w:pPr>
              <w:pStyle w:val="1011"/>
              <w:rPr>
                <w:rFonts w:eastAsia="Arial"/>
              </w:rPr>
            </w:pPr>
            <w:r>
              <w:rPr>
                <w:rFonts w:eastAsia="Arial"/>
              </w:rPr>
            </w:r>
            <w:r/>
          </w:p>
        </w:tc>
        <w:tc>
          <w:tcPr>
            <w:tcBorders>
              <w:right w:val="single" w:color="000000" w:sz="2" w:space="0"/>
            </w:tcBorders>
            <w:tcW w:w="1426" w:type="dxa"/>
            <w:vAlign w:val="top"/>
            <w:textDirection w:val="lrTb"/>
            <w:noWrap w:val="false"/>
          </w:tcPr>
          <w:p>
            <w:pPr>
              <w:pStyle w:val="1011"/>
              <w:rPr>
                <w:rFonts w:eastAsia="Arial"/>
              </w:rPr>
            </w:pPr>
            <w:r>
              <w:rPr>
                <w:rFonts w:eastAsia="Arial"/>
              </w:rPr>
            </w:r>
            <w:r/>
          </w:p>
        </w:tc>
        <w:tc>
          <w:tcPr>
            <w:tcBorders>
              <w:left w:val="single" w:color="000000" w:sz="2" w:space="0"/>
            </w:tcBorders>
            <w:tcW w:w="981" w:type="dxa"/>
            <w:vAlign w:val="top"/>
            <w:textDirection w:val="lrTb"/>
            <w:noWrap w:val="false"/>
          </w:tcPr>
          <w:p>
            <w:pPr>
              <w:pStyle w:val="1011"/>
              <w:rPr>
                <w:rFonts w:eastAsia="Arial"/>
              </w:rPr>
            </w:pPr>
            <w:r>
              <w:rPr>
                <w:rFonts w:eastAsia="Arial"/>
              </w:rPr>
            </w:r>
            <w:r/>
          </w:p>
        </w:tc>
        <w:tc>
          <w:tcPr>
            <w:tcW w:w="2273" w:type="dxa"/>
            <w:vAlign w:val="top"/>
            <w:textDirection w:val="lrTb"/>
            <w:noWrap w:val="false"/>
          </w:tcPr>
          <w:p>
            <w:pPr>
              <w:pStyle w:val="1011"/>
              <w:rPr>
                <w:rFonts w:eastAsia="Arial"/>
              </w:rPr>
            </w:pPr>
            <w:r>
              <w:rPr>
                <w:rFonts w:eastAsia="Arial"/>
              </w:rPr>
            </w:r>
            <w:r/>
          </w:p>
        </w:tc>
      </w:tr>
      <w:tr>
        <w:trPr>
          <w:trHeight w:val="404"/>
        </w:trPr>
        <w:tc>
          <w:tcPr>
            <w:tcW w:w="894" w:type="dxa"/>
            <w:vAlign w:val="top"/>
            <w:textDirection w:val="lrTb"/>
            <w:noWrap w:val="false"/>
          </w:tcPr>
          <w:p>
            <w:pPr>
              <w:pStyle w:val="1011"/>
              <w:rPr>
                <w:rFonts w:eastAsia="Arial"/>
              </w:rPr>
            </w:pPr>
            <w:r>
              <w:rPr>
                <w:rFonts w:eastAsia="Arial"/>
              </w:rPr>
            </w:r>
            <w:r/>
          </w:p>
        </w:tc>
        <w:tc>
          <w:tcPr>
            <w:tcW w:w="1841" w:type="dxa"/>
            <w:vAlign w:val="top"/>
            <w:textDirection w:val="lrTb"/>
            <w:noWrap w:val="false"/>
          </w:tcPr>
          <w:p>
            <w:pPr>
              <w:pStyle w:val="1011"/>
              <w:rPr>
                <w:rFonts w:eastAsia="Arial"/>
              </w:rPr>
            </w:pPr>
            <w:r>
              <w:rPr>
                <w:rFonts w:eastAsia="Arial"/>
              </w:rPr>
            </w:r>
            <w:r/>
          </w:p>
        </w:tc>
        <w:tc>
          <w:tcPr>
            <w:tcW w:w="2266" w:type="dxa"/>
            <w:vAlign w:val="top"/>
            <w:textDirection w:val="lrTb"/>
            <w:noWrap w:val="false"/>
          </w:tcPr>
          <w:p>
            <w:pPr>
              <w:pStyle w:val="1011"/>
              <w:rPr>
                <w:rFonts w:eastAsia="Arial"/>
              </w:rPr>
            </w:pPr>
            <w:r>
              <w:rPr>
                <w:rFonts w:eastAsia="Arial"/>
              </w:rPr>
            </w:r>
            <w:r/>
          </w:p>
        </w:tc>
        <w:tc>
          <w:tcPr>
            <w:tcBorders>
              <w:right w:val="single" w:color="000000" w:sz="2" w:space="0"/>
            </w:tcBorders>
            <w:tcW w:w="1426" w:type="dxa"/>
            <w:vAlign w:val="top"/>
            <w:textDirection w:val="lrTb"/>
            <w:noWrap w:val="false"/>
          </w:tcPr>
          <w:p>
            <w:pPr>
              <w:pStyle w:val="1011"/>
              <w:rPr>
                <w:rFonts w:eastAsia="Arial"/>
              </w:rPr>
            </w:pPr>
            <w:r>
              <w:rPr>
                <w:rFonts w:eastAsia="Arial"/>
              </w:rPr>
            </w:r>
            <w:r/>
          </w:p>
        </w:tc>
        <w:tc>
          <w:tcPr>
            <w:tcBorders>
              <w:left w:val="single" w:color="000000" w:sz="2" w:space="0"/>
            </w:tcBorders>
            <w:tcW w:w="981" w:type="dxa"/>
            <w:vAlign w:val="top"/>
            <w:textDirection w:val="lrTb"/>
            <w:noWrap w:val="false"/>
          </w:tcPr>
          <w:p>
            <w:pPr>
              <w:pStyle w:val="1011"/>
              <w:rPr>
                <w:rFonts w:eastAsia="Arial"/>
              </w:rPr>
            </w:pPr>
            <w:r>
              <w:rPr>
                <w:rFonts w:eastAsia="Arial"/>
              </w:rPr>
            </w:r>
            <w:r/>
          </w:p>
        </w:tc>
        <w:tc>
          <w:tcPr>
            <w:tcW w:w="2273" w:type="dxa"/>
            <w:vAlign w:val="top"/>
            <w:textDirection w:val="lrTb"/>
            <w:noWrap w:val="false"/>
          </w:tcPr>
          <w:p>
            <w:pPr>
              <w:pStyle w:val="1011"/>
              <w:rPr>
                <w:rFonts w:eastAsia="Arial"/>
              </w:rPr>
            </w:pPr>
            <w:r>
              <w:rPr>
                <w:rFonts w:eastAsia="Arial"/>
              </w:rPr>
            </w:r>
            <w:r/>
          </w:p>
        </w:tc>
      </w:tr>
      <w:tr>
        <w:trPr>
          <w:trHeight w:val="413"/>
        </w:trPr>
        <w:tc>
          <w:tcPr>
            <w:tcW w:w="894" w:type="dxa"/>
            <w:vAlign w:val="top"/>
            <w:textDirection w:val="lrTb"/>
            <w:noWrap w:val="false"/>
          </w:tcPr>
          <w:p>
            <w:pPr>
              <w:pStyle w:val="1011"/>
              <w:rPr>
                <w:rFonts w:eastAsia="Arial"/>
              </w:rPr>
            </w:pPr>
            <w:r>
              <w:rPr>
                <w:rFonts w:eastAsia="Arial"/>
              </w:rPr>
            </w:r>
            <w:r/>
          </w:p>
        </w:tc>
        <w:tc>
          <w:tcPr>
            <w:tcW w:w="1841" w:type="dxa"/>
            <w:vAlign w:val="top"/>
            <w:textDirection w:val="lrTb"/>
            <w:noWrap w:val="false"/>
          </w:tcPr>
          <w:p>
            <w:pPr>
              <w:pStyle w:val="1011"/>
              <w:rPr>
                <w:rFonts w:eastAsia="Arial"/>
              </w:rPr>
            </w:pPr>
            <w:r>
              <w:rPr>
                <w:rFonts w:eastAsia="Arial"/>
              </w:rPr>
            </w:r>
            <w:r/>
          </w:p>
        </w:tc>
        <w:tc>
          <w:tcPr>
            <w:tcW w:w="2266" w:type="dxa"/>
            <w:vAlign w:val="top"/>
            <w:textDirection w:val="lrTb"/>
            <w:noWrap w:val="false"/>
          </w:tcPr>
          <w:p>
            <w:pPr>
              <w:pStyle w:val="1011"/>
              <w:rPr>
                <w:rFonts w:eastAsia="Arial"/>
              </w:rPr>
            </w:pPr>
            <w:r>
              <w:rPr>
                <w:rFonts w:eastAsia="Arial"/>
              </w:rPr>
            </w:r>
            <w:r/>
          </w:p>
        </w:tc>
        <w:tc>
          <w:tcPr>
            <w:tcBorders>
              <w:right w:val="single" w:color="000000" w:sz="2" w:space="0"/>
            </w:tcBorders>
            <w:tcW w:w="1426" w:type="dxa"/>
            <w:vAlign w:val="top"/>
            <w:textDirection w:val="lrTb"/>
            <w:noWrap w:val="false"/>
          </w:tcPr>
          <w:p>
            <w:pPr>
              <w:pStyle w:val="1011"/>
              <w:rPr>
                <w:rFonts w:eastAsia="Arial"/>
              </w:rPr>
            </w:pPr>
            <w:r>
              <w:rPr>
                <w:rFonts w:eastAsia="Arial"/>
              </w:rPr>
            </w:r>
            <w:r/>
          </w:p>
        </w:tc>
        <w:tc>
          <w:tcPr>
            <w:tcBorders>
              <w:left w:val="single" w:color="000000" w:sz="2" w:space="0"/>
            </w:tcBorders>
            <w:tcW w:w="981" w:type="dxa"/>
            <w:vAlign w:val="top"/>
            <w:textDirection w:val="lrTb"/>
            <w:noWrap w:val="false"/>
          </w:tcPr>
          <w:p>
            <w:pPr>
              <w:pStyle w:val="1011"/>
              <w:rPr>
                <w:rFonts w:eastAsia="Arial"/>
              </w:rPr>
            </w:pPr>
            <w:r>
              <w:rPr>
                <w:rFonts w:eastAsia="Arial"/>
              </w:rPr>
            </w:r>
            <w:r/>
          </w:p>
        </w:tc>
        <w:tc>
          <w:tcPr>
            <w:tcW w:w="2273" w:type="dxa"/>
            <w:vAlign w:val="top"/>
            <w:textDirection w:val="lrTb"/>
            <w:noWrap w:val="false"/>
          </w:tcPr>
          <w:p>
            <w:pPr>
              <w:pStyle w:val="1011"/>
              <w:rPr>
                <w:rFonts w:eastAsia="Arial"/>
              </w:rPr>
            </w:pPr>
            <w:r>
              <w:rPr>
                <w:rFonts w:eastAsia="Arial"/>
              </w:rPr>
            </w:r>
            <w:r/>
          </w:p>
        </w:tc>
      </w:tr>
    </w:tbl>
    <w:p>
      <w:pPr>
        <w:pStyle w:val="1182"/>
        <w:spacing w:line="250" w:lineRule="auto"/>
      </w:pPr>
      <w:r/>
      <w:r/>
    </w:p>
    <w:p>
      <w:pPr>
        <w:pStyle w:val="1182"/>
        <w:spacing w:line="251" w:lineRule="auto"/>
      </w:pPr>
      <w:r/>
      <w:r/>
    </w:p>
    <w:p>
      <w:pPr>
        <w:pStyle w:val="1182"/>
        <w:spacing w:line="251" w:lineRule="auto"/>
      </w:pPr>
      <w:r/>
      <w:r/>
    </w:p>
    <w:p>
      <w:pPr>
        <w:pStyle w:val="1182"/>
        <w:spacing w:line="251" w:lineRule="auto"/>
      </w:pPr>
      <w:r/>
      <w:r/>
    </w:p>
    <w:p>
      <w:pPr>
        <w:pStyle w:val="1011"/>
        <w:ind w:left="543"/>
        <w:spacing w:before="68" w:line="221" w:lineRule="auto"/>
        <w:rPr>
          <w:rFonts w:ascii="宋体" w:hAnsi="宋体" w:cs="宋体"/>
        </w:rPr>
      </w:pPr>
      <w:r>
        <w:rPr>
          <w:rFonts w:ascii="宋体" w:hAnsi="宋体" w:cs="宋体"/>
          <w:spacing w:val="-4"/>
        </w:rPr>
        <w:t xml:space="preserve">投标人（公章</w:t>
      </w:r>
      <w:r>
        <w:rPr>
          <w:rFonts w:ascii="宋体" w:hAnsi="宋体" w:cs="宋体"/>
          <w:spacing w:val="1"/>
        </w:rPr>
        <w:t xml:space="preserve">）：</w:t>
      </w:r>
      <w:r>
        <w:rPr>
          <w:rFonts w:ascii="宋体" w:hAnsi="宋体" w:cs="宋体"/>
        </w:rPr>
      </w:r>
      <w:r/>
    </w:p>
    <w:p>
      <w:pPr>
        <w:pStyle w:val="1011"/>
        <w:ind w:left="563"/>
        <w:spacing w:before="188" w:line="221" w:lineRule="auto"/>
        <w:rPr>
          <w:rFonts w:ascii="宋体" w:hAnsi="宋体" w:cs="宋体"/>
        </w:rPr>
      </w:pPr>
      <w:r>
        <w:rPr>
          <w:rFonts w:ascii="宋体" w:hAnsi="宋体" w:cs="宋体"/>
          <w:spacing w:val="-1"/>
        </w:rPr>
        <w:t xml:space="preserve">法定代表人或代理人（签字或盖章</w:t>
      </w:r>
      <w:r>
        <w:rPr>
          <w:rFonts w:ascii="宋体" w:hAnsi="宋体" w:cs="宋体"/>
          <w:spacing w:val="4"/>
        </w:rPr>
        <w:t xml:space="preserve">）：</w:t>
      </w:r>
      <w:r>
        <w:rPr>
          <w:rFonts w:ascii="宋体" w:hAnsi="宋体" w:cs="宋体"/>
        </w:rPr>
      </w:r>
      <w:r/>
    </w:p>
    <w:p>
      <w:pPr>
        <w:pStyle w:val="1011"/>
        <w:ind w:left="599"/>
        <w:spacing w:before="191" w:line="221" w:lineRule="auto"/>
        <w:rPr>
          <w:rFonts w:ascii="宋体" w:hAnsi="宋体" w:cs="宋体"/>
        </w:rPr>
      </w:pPr>
      <w:r>
        <w:rPr>
          <w:rFonts w:ascii="宋体" w:hAnsi="宋体" w:cs="宋体"/>
          <w:spacing w:val="-13"/>
        </w:rPr>
        <w:t xml:space="preserve">日期：年月日</w:t>
      </w:r>
      <w:r>
        <w:rPr>
          <w:rFonts w:ascii="宋体" w:hAnsi="宋体" w:cs="宋体"/>
        </w:rPr>
      </w:r>
      <w:r/>
    </w:p>
    <w:p>
      <w:pPr>
        <w:pStyle w:val="1182"/>
        <w:spacing w:line="243" w:lineRule="auto"/>
      </w:pPr>
      <w:r/>
      <w:bookmarkEnd w:id="88"/>
      <w:r/>
      <w:r/>
    </w:p>
    <w:p>
      <w:pPr>
        <w:pStyle w:val="1182"/>
        <w:spacing w:line="243" w:lineRule="auto"/>
      </w:pPr>
      <w:r/>
      <w:r/>
    </w:p>
    <w:p>
      <w:pPr>
        <w:pStyle w:val="1182"/>
        <w:spacing w:line="244" w:lineRule="auto"/>
      </w:pPr>
      <w:r/>
      <w:r/>
    </w:p>
    <w:p>
      <w:pPr>
        <w:pStyle w:val="1182"/>
        <w:spacing w:line="244" w:lineRule="auto"/>
      </w:pPr>
      <w:r/>
      <w:r/>
    </w:p>
    <w:p>
      <w:pPr>
        <w:pStyle w:val="1182"/>
        <w:spacing w:line="244" w:lineRule="auto"/>
      </w:pPr>
      <w:r/>
      <w:r/>
    </w:p>
    <w:p>
      <w:pPr>
        <w:pStyle w:val="1011"/>
        <w:ind w:left="459"/>
        <w:spacing w:before="69" w:line="221" w:lineRule="auto"/>
        <w:rPr>
          <w:rFonts w:ascii="宋体" w:hAnsi="宋体" w:cs="宋体"/>
        </w:rPr>
      </w:pPr>
      <w:r>
        <w:rPr>
          <w:rFonts w:ascii="宋体" w:hAnsi="宋体" w:cs="宋体"/>
          <w:b/>
          <w:bCs/>
          <w:spacing w:val="-3"/>
        </w:rPr>
        <w:t xml:space="preserve">注：投标单位可参照上述格式自行设计表格投标。</w:t>
      </w:r>
      <w:r>
        <w:rPr>
          <w:rFonts w:ascii="宋体" w:hAnsi="宋体" w:cs="宋体"/>
        </w:rPr>
      </w:r>
      <w:r/>
    </w:p>
    <w:p>
      <w:pPr>
        <w:pStyle w:val="1011"/>
        <w:spacing w:line="221" w:lineRule="auto"/>
        <w:rPr>
          <w:rFonts w:ascii="宋体" w:hAnsi="宋体" w:cs="宋体"/>
        </w:rPr>
        <w:sectPr>
          <w:footnotePr/>
          <w:endnotePr/>
          <w:type w:val="nextPage"/>
          <w:pgSz w:w="11907" w:h="16839" w:orient="portrait"/>
          <w:pgMar w:top="921" w:right="1106" w:bottom="676" w:left="1104" w:header="601" w:footer="511" w:gutter="0"/>
          <w:cols w:num="1" w:sep="0" w:space="720" w:equalWidth="1"/>
          <w:docGrid w:linePitch="360"/>
        </w:sectPr>
      </w:pPr>
      <w:r>
        <w:rPr>
          <w:rFonts w:ascii="宋体" w:hAnsi="宋体" w:cs="宋体"/>
        </w:rPr>
      </w:r>
      <w:r/>
    </w:p>
    <w:p>
      <w:pPr>
        <w:pStyle w:val="1011"/>
        <w:ind w:left="87"/>
        <w:spacing w:before="157" w:line="221" w:lineRule="auto"/>
        <w:rPr>
          <w:rFonts w:ascii="宋体" w:hAnsi="宋体" w:cs="宋体"/>
        </w:rPr>
      </w:pPr>
      <w:r/>
      <w:bookmarkStart w:id="89" w:name="OLE_LINK84"/>
      <w:r>
        <w:rPr>
          <w:rFonts w:ascii="宋体" w:hAnsi="宋体" w:cs="宋体"/>
          <w:b/>
          <w:bCs/>
          <w:spacing w:val="-4"/>
        </w:rPr>
        <w:t xml:space="preserve">格式1</w:t>
      </w:r>
      <w:r>
        <w:rPr>
          <w:rFonts w:hint="eastAsia" w:ascii="宋体" w:hAnsi="宋体" w:cs="宋体"/>
          <w:b/>
          <w:bCs/>
          <w:spacing w:val="-4"/>
        </w:rPr>
        <w:t xml:space="preserve">7</w:t>
      </w:r>
      <w:r>
        <w:rPr>
          <w:rFonts w:ascii="宋体" w:hAnsi="宋体" w:cs="宋体"/>
          <w:b/>
          <w:bCs/>
          <w:spacing w:val="-4"/>
        </w:rPr>
        <w:t xml:space="preserve">、类似业绩一览表</w:t>
      </w:r>
      <w:r>
        <w:rPr>
          <w:rFonts w:ascii="宋体" w:hAnsi="宋体" w:cs="宋体"/>
        </w:rPr>
      </w:r>
      <w:r/>
    </w:p>
    <w:p>
      <w:pPr>
        <w:pStyle w:val="1182"/>
        <w:spacing w:line="309" w:lineRule="auto"/>
      </w:pPr>
      <w:r/>
      <w:r/>
    </w:p>
    <w:p>
      <w:pPr>
        <w:pStyle w:val="1011"/>
        <w:ind w:left="4268"/>
        <w:spacing w:before="68" w:line="221" w:lineRule="auto"/>
        <w:rPr>
          <w:rFonts w:ascii="宋体" w:hAnsi="宋体" w:cs="宋体"/>
        </w:rPr>
      </w:pPr>
      <w:r>
        <w:rPr>
          <w:rFonts w:ascii="宋体" w:hAnsi="宋体" w:cs="宋体"/>
          <w:b/>
          <w:bCs/>
          <w:spacing w:val="-3"/>
        </w:rPr>
        <w:t xml:space="preserve">类似业绩一览表</w:t>
      </w:r>
      <w:r>
        <w:rPr>
          <w:rFonts w:ascii="宋体" w:hAnsi="宋体" w:cs="宋体"/>
        </w:rPr>
      </w:r>
      <w:r/>
    </w:p>
    <w:p>
      <w:pPr>
        <w:pStyle w:val="1011"/>
        <w:spacing w:before="79"/>
      </w:pPr>
      <w:r/>
      <w:r/>
    </w:p>
    <w:tbl>
      <w:tblPr>
        <w:tblW w:w="97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7"/>
        <w:gridCol w:w="1473"/>
        <w:gridCol w:w="1660"/>
        <w:gridCol w:w="1660"/>
        <w:gridCol w:w="1576"/>
        <w:gridCol w:w="1273"/>
        <w:gridCol w:w="1422"/>
      </w:tblGrid>
      <w:tr>
        <w:trPr>
          <w:trHeight w:val="916"/>
        </w:trPr>
        <w:tc>
          <w:tcPr>
            <w:tcW w:w="727" w:type="dxa"/>
            <w:vAlign w:val="top"/>
            <w:textDirection w:val="lrTb"/>
            <w:noWrap w:val="false"/>
          </w:tcPr>
          <w:p>
            <w:pPr>
              <w:pStyle w:val="1011"/>
              <w:spacing w:line="283" w:lineRule="auto"/>
              <w:rPr>
                <w:rFonts w:eastAsia="Arial"/>
              </w:rPr>
            </w:pPr>
            <w:r>
              <w:rPr>
                <w:rFonts w:eastAsia="Arial"/>
              </w:rPr>
            </w:r>
            <w:r/>
          </w:p>
          <w:p>
            <w:pPr>
              <w:pStyle w:val="1198"/>
              <w:ind w:left="158"/>
              <w:spacing w:before="68" w:line="223" w:lineRule="auto"/>
              <w:rPr>
                <w:lang w:eastAsia="en-US"/>
              </w:rPr>
            </w:pPr>
            <w:r>
              <w:rPr>
                <w:spacing w:val="-2"/>
                <w:lang w:eastAsia="en-US"/>
              </w:rPr>
              <w:t xml:space="preserve">序号</w:t>
            </w:r>
            <w:r>
              <w:rPr>
                <w:lang w:eastAsia="en-US"/>
              </w:rPr>
            </w:r>
            <w:r/>
          </w:p>
        </w:tc>
        <w:tc>
          <w:tcPr>
            <w:tcW w:w="1473" w:type="dxa"/>
            <w:vAlign w:val="top"/>
            <w:textDirection w:val="lrTb"/>
            <w:noWrap w:val="false"/>
          </w:tcPr>
          <w:p>
            <w:pPr>
              <w:pStyle w:val="1011"/>
              <w:spacing w:line="283" w:lineRule="auto"/>
              <w:rPr>
                <w:rFonts w:eastAsia="Arial"/>
                <w:lang w:eastAsia="en-US"/>
              </w:rPr>
            </w:pPr>
            <w:r>
              <w:rPr>
                <w:rFonts w:eastAsia="Arial"/>
                <w:lang w:eastAsia="en-US"/>
              </w:rPr>
            </w:r>
            <w:r/>
          </w:p>
          <w:p>
            <w:pPr>
              <w:pStyle w:val="1198"/>
              <w:ind w:left="323"/>
              <w:spacing w:before="68" w:line="222" w:lineRule="auto"/>
              <w:rPr>
                <w:lang w:eastAsia="en-US"/>
              </w:rPr>
            </w:pPr>
            <w:r>
              <w:rPr>
                <w:spacing w:val="-3"/>
                <w:lang w:eastAsia="en-US"/>
              </w:rPr>
              <w:t xml:space="preserve">项目名称</w:t>
            </w:r>
            <w:r>
              <w:rPr>
                <w:lang w:eastAsia="en-US"/>
              </w:rPr>
            </w:r>
            <w:r/>
          </w:p>
        </w:tc>
        <w:tc>
          <w:tcPr>
            <w:tcW w:w="1660" w:type="dxa"/>
            <w:vAlign w:val="top"/>
            <w:textDirection w:val="lrTb"/>
            <w:noWrap w:val="false"/>
          </w:tcPr>
          <w:p>
            <w:pPr>
              <w:pStyle w:val="1011"/>
              <w:spacing w:line="283" w:lineRule="auto"/>
              <w:rPr>
                <w:rFonts w:eastAsia="Arial"/>
                <w:lang w:eastAsia="en-US"/>
              </w:rPr>
            </w:pPr>
            <w:r>
              <w:rPr>
                <w:rFonts w:eastAsia="Arial"/>
                <w:lang w:eastAsia="en-US"/>
              </w:rPr>
            </w:r>
            <w:r/>
          </w:p>
          <w:p>
            <w:pPr>
              <w:pStyle w:val="1198"/>
              <w:ind w:left="414"/>
              <w:spacing w:before="69" w:line="221" w:lineRule="auto"/>
              <w:rPr>
                <w:lang w:eastAsia="en-US"/>
              </w:rPr>
            </w:pPr>
            <w:r>
              <w:rPr>
                <w:spacing w:val="-2"/>
                <w:lang w:eastAsia="en-US"/>
              </w:rPr>
              <w:t xml:space="preserve">服务内容</w:t>
            </w:r>
            <w:r>
              <w:rPr>
                <w:lang w:eastAsia="en-US"/>
              </w:rPr>
            </w:r>
            <w:r/>
          </w:p>
        </w:tc>
        <w:tc>
          <w:tcPr>
            <w:tcW w:w="1660" w:type="dxa"/>
            <w:vAlign w:val="top"/>
            <w:textDirection w:val="lrTb"/>
            <w:noWrap w:val="false"/>
          </w:tcPr>
          <w:p>
            <w:pPr>
              <w:pStyle w:val="1011"/>
              <w:spacing w:line="283" w:lineRule="auto"/>
              <w:rPr>
                <w:rFonts w:eastAsia="Arial"/>
                <w:lang w:eastAsia="en-US"/>
              </w:rPr>
            </w:pPr>
            <w:r>
              <w:rPr>
                <w:rFonts w:eastAsia="Arial"/>
                <w:lang w:eastAsia="en-US"/>
              </w:rPr>
            </w:r>
            <w:r/>
          </w:p>
          <w:p>
            <w:pPr>
              <w:pStyle w:val="1198"/>
              <w:ind w:left="414"/>
              <w:spacing w:before="69" w:line="221" w:lineRule="auto"/>
              <w:rPr>
                <w:lang w:eastAsia="en-US"/>
              </w:rPr>
            </w:pPr>
            <w:r>
              <w:rPr>
                <w:spacing w:val="-2"/>
                <w:lang w:eastAsia="en-US"/>
              </w:rPr>
              <w:t xml:space="preserve">服务期限</w:t>
            </w:r>
            <w:r>
              <w:rPr>
                <w:lang w:eastAsia="en-US"/>
              </w:rPr>
            </w:r>
            <w:r/>
          </w:p>
        </w:tc>
        <w:tc>
          <w:tcPr>
            <w:tcW w:w="1576" w:type="dxa"/>
            <w:vAlign w:val="top"/>
            <w:textDirection w:val="lrTb"/>
            <w:noWrap w:val="false"/>
          </w:tcPr>
          <w:p>
            <w:pPr>
              <w:pStyle w:val="1011"/>
              <w:spacing w:line="284" w:lineRule="auto"/>
              <w:rPr>
                <w:rFonts w:eastAsia="Arial"/>
                <w:lang w:eastAsia="en-US"/>
              </w:rPr>
            </w:pPr>
            <w:r>
              <w:rPr>
                <w:rFonts w:eastAsia="Arial"/>
                <w:lang w:eastAsia="en-US"/>
              </w:rPr>
            </w:r>
            <w:r/>
          </w:p>
          <w:p>
            <w:pPr>
              <w:pStyle w:val="1198"/>
              <w:ind w:left="164"/>
              <w:spacing w:before="68" w:line="223" w:lineRule="auto"/>
              <w:rPr>
                <w:lang w:eastAsia="en-US"/>
              </w:rPr>
            </w:pPr>
            <w:r>
              <w:rPr>
                <w:spacing w:val="-1"/>
                <w:lang w:eastAsia="en-US"/>
              </w:rPr>
              <w:t xml:space="preserve">合同签订时间</w:t>
            </w:r>
            <w:r>
              <w:rPr>
                <w:lang w:eastAsia="en-US"/>
              </w:rPr>
            </w:r>
            <w:r/>
          </w:p>
        </w:tc>
        <w:tc>
          <w:tcPr>
            <w:tcW w:w="1273" w:type="dxa"/>
            <w:vAlign w:val="top"/>
            <w:textDirection w:val="lrTb"/>
            <w:noWrap w:val="false"/>
          </w:tcPr>
          <w:p>
            <w:pPr>
              <w:pStyle w:val="1011"/>
              <w:spacing w:line="283" w:lineRule="auto"/>
              <w:rPr>
                <w:rFonts w:eastAsia="Arial"/>
                <w:lang w:eastAsia="en-US"/>
              </w:rPr>
            </w:pPr>
            <w:r>
              <w:rPr>
                <w:rFonts w:eastAsia="Arial"/>
                <w:lang w:eastAsia="en-US"/>
              </w:rPr>
            </w:r>
            <w:r/>
          </w:p>
          <w:p>
            <w:pPr>
              <w:pStyle w:val="1198"/>
              <w:ind w:left="223"/>
              <w:spacing w:before="69" w:line="221" w:lineRule="auto"/>
              <w:rPr>
                <w:lang w:eastAsia="en-US"/>
              </w:rPr>
            </w:pPr>
            <w:r>
              <w:rPr>
                <w:spacing w:val="-2"/>
                <w:lang w:eastAsia="en-US"/>
              </w:rPr>
              <w:t xml:space="preserve">合同金额</w:t>
            </w:r>
            <w:r>
              <w:rPr>
                <w:lang w:eastAsia="en-US"/>
              </w:rPr>
            </w:r>
            <w:r/>
          </w:p>
        </w:tc>
        <w:tc>
          <w:tcPr>
            <w:tcW w:w="1422" w:type="dxa"/>
            <w:vAlign w:val="top"/>
            <w:textDirection w:val="lrTb"/>
            <w:noWrap w:val="false"/>
          </w:tcPr>
          <w:p>
            <w:pPr>
              <w:pStyle w:val="1011"/>
              <w:spacing w:line="283" w:lineRule="auto"/>
              <w:rPr>
                <w:rFonts w:eastAsia="Arial"/>
                <w:lang w:eastAsia="en-US"/>
              </w:rPr>
            </w:pPr>
            <w:r>
              <w:rPr>
                <w:rFonts w:eastAsia="Arial"/>
                <w:lang w:eastAsia="en-US"/>
              </w:rPr>
            </w:r>
            <w:r/>
          </w:p>
          <w:p>
            <w:pPr>
              <w:pStyle w:val="1198"/>
              <w:ind w:left="511"/>
              <w:spacing w:before="68" w:line="223" w:lineRule="auto"/>
              <w:rPr>
                <w:lang w:eastAsia="en-US"/>
              </w:rPr>
            </w:pPr>
            <w:r>
              <w:rPr>
                <w:spacing w:val="-3"/>
                <w:lang w:eastAsia="en-US"/>
              </w:rPr>
              <w:t xml:space="preserve">备注</w:t>
            </w:r>
            <w:r>
              <w:rPr>
                <w:lang w:eastAsia="en-US"/>
              </w:rPr>
            </w:r>
            <w:r/>
          </w:p>
        </w:tc>
      </w:tr>
      <w:tr>
        <w:trPr>
          <w:trHeight w:val="685"/>
        </w:trPr>
        <w:tc>
          <w:tcPr>
            <w:tcW w:w="727" w:type="dxa"/>
            <w:vAlign w:val="top"/>
            <w:textDirection w:val="lrTb"/>
            <w:noWrap w:val="false"/>
          </w:tcPr>
          <w:p>
            <w:pPr>
              <w:pStyle w:val="1011"/>
              <w:rPr>
                <w:rFonts w:eastAsia="Arial"/>
                <w:lang w:eastAsia="en-US"/>
              </w:rPr>
            </w:pPr>
            <w:r>
              <w:rPr>
                <w:rFonts w:eastAsia="Arial"/>
                <w:lang w:eastAsia="en-US"/>
              </w:rPr>
            </w:r>
            <w:r/>
          </w:p>
        </w:tc>
        <w:tc>
          <w:tcPr>
            <w:tcW w:w="1473" w:type="dxa"/>
            <w:vAlign w:val="top"/>
            <w:textDirection w:val="lrTb"/>
            <w:noWrap w:val="false"/>
          </w:tcPr>
          <w:p>
            <w:pPr>
              <w:pStyle w:val="1011"/>
              <w:rPr>
                <w:rFonts w:eastAsia="Arial"/>
                <w:lang w:eastAsia="en-US"/>
              </w:rPr>
            </w:pPr>
            <w:r>
              <w:rPr>
                <w:rFonts w:eastAsia="Arial"/>
                <w:lang w:eastAsia="en-US"/>
              </w:rPr>
            </w:r>
            <w:r/>
          </w:p>
        </w:tc>
        <w:tc>
          <w:tcPr>
            <w:tcW w:w="1660" w:type="dxa"/>
            <w:vAlign w:val="top"/>
            <w:textDirection w:val="lrTb"/>
            <w:noWrap w:val="false"/>
          </w:tcPr>
          <w:p>
            <w:pPr>
              <w:pStyle w:val="1011"/>
              <w:rPr>
                <w:rFonts w:eastAsia="Arial"/>
                <w:lang w:eastAsia="en-US"/>
              </w:rPr>
            </w:pPr>
            <w:r>
              <w:rPr>
                <w:rFonts w:eastAsia="Arial"/>
                <w:lang w:eastAsia="en-US"/>
              </w:rPr>
            </w:r>
            <w:r/>
          </w:p>
        </w:tc>
        <w:tc>
          <w:tcPr>
            <w:tcW w:w="1660" w:type="dxa"/>
            <w:vAlign w:val="top"/>
            <w:textDirection w:val="lrTb"/>
            <w:noWrap w:val="false"/>
          </w:tcPr>
          <w:p>
            <w:pPr>
              <w:pStyle w:val="1011"/>
              <w:rPr>
                <w:rFonts w:eastAsia="Arial"/>
                <w:lang w:eastAsia="en-US"/>
              </w:rPr>
            </w:pPr>
            <w:r>
              <w:rPr>
                <w:rFonts w:eastAsia="Arial"/>
                <w:lang w:eastAsia="en-US"/>
              </w:rPr>
            </w:r>
            <w:r/>
          </w:p>
        </w:tc>
        <w:tc>
          <w:tcPr>
            <w:tcW w:w="1576" w:type="dxa"/>
            <w:vAlign w:val="top"/>
            <w:textDirection w:val="lrTb"/>
            <w:noWrap w:val="false"/>
          </w:tcPr>
          <w:p>
            <w:pPr>
              <w:pStyle w:val="1011"/>
              <w:rPr>
                <w:rFonts w:eastAsia="Arial"/>
                <w:lang w:eastAsia="en-US"/>
              </w:rPr>
            </w:pPr>
            <w:r>
              <w:rPr>
                <w:rFonts w:eastAsia="Arial"/>
                <w:lang w:eastAsia="en-US"/>
              </w:rPr>
            </w:r>
            <w:r/>
          </w:p>
        </w:tc>
        <w:tc>
          <w:tcPr>
            <w:tcW w:w="1273" w:type="dxa"/>
            <w:vAlign w:val="top"/>
            <w:textDirection w:val="lrTb"/>
            <w:noWrap w:val="false"/>
          </w:tcPr>
          <w:p>
            <w:pPr>
              <w:pStyle w:val="1011"/>
              <w:rPr>
                <w:rFonts w:eastAsia="Arial"/>
                <w:lang w:eastAsia="en-US"/>
              </w:rPr>
            </w:pPr>
            <w:r>
              <w:rPr>
                <w:rFonts w:eastAsia="Arial"/>
                <w:lang w:eastAsia="en-US"/>
              </w:rPr>
            </w:r>
            <w:r/>
          </w:p>
        </w:tc>
        <w:tc>
          <w:tcPr>
            <w:tcW w:w="1422" w:type="dxa"/>
            <w:vAlign w:val="top"/>
            <w:textDirection w:val="lrTb"/>
            <w:noWrap w:val="false"/>
          </w:tcPr>
          <w:p>
            <w:pPr>
              <w:pStyle w:val="1011"/>
              <w:rPr>
                <w:rFonts w:eastAsia="Arial"/>
                <w:lang w:eastAsia="en-US"/>
              </w:rPr>
            </w:pPr>
            <w:r>
              <w:rPr>
                <w:rFonts w:eastAsia="Arial"/>
                <w:lang w:eastAsia="en-US"/>
              </w:rPr>
            </w:r>
            <w:r/>
          </w:p>
        </w:tc>
      </w:tr>
      <w:tr>
        <w:trPr>
          <w:trHeight w:val="683"/>
        </w:trPr>
        <w:tc>
          <w:tcPr>
            <w:tcW w:w="727" w:type="dxa"/>
            <w:vAlign w:val="top"/>
            <w:textDirection w:val="lrTb"/>
            <w:noWrap w:val="false"/>
          </w:tcPr>
          <w:p>
            <w:pPr>
              <w:pStyle w:val="1011"/>
              <w:rPr>
                <w:rFonts w:eastAsia="Arial"/>
                <w:lang w:eastAsia="en-US"/>
              </w:rPr>
            </w:pPr>
            <w:r>
              <w:rPr>
                <w:rFonts w:eastAsia="Arial"/>
                <w:lang w:eastAsia="en-US"/>
              </w:rPr>
            </w:r>
            <w:r/>
          </w:p>
        </w:tc>
        <w:tc>
          <w:tcPr>
            <w:tcW w:w="1473" w:type="dxa"/>
            <w:vAlign w:val="top"/>
            <w:textDirection w:val="lrTb"/>
            <w:noWrap w:val="false"/>
          </w:tcPr>
          <w:p>
            <w:pPr>
              <w:pStyle w:val="1011"/>
              <w:rPr>
                <w:rFonts w:eastAsia="Arial"/>
                <w:lang w:eastAsia="en-US"/>
              </w:rPr>
            </w:pPr>
            <w:r>
              <w:rPr>
                <w:rFonts w:eastAsia="Arial"/>
                <w:lang w:eastAsia="en-US"/>
              </w:rPr>
            </w:r>
            <w:r/>
          </w:p>
        </w:tc>
        <w:tc>
          <w:tcPr>
            <w:tcW w:w="1660" w:type="dxa"/>
            <w:vAlign w:val="top"/>
            <w:textDirection w:val="lrTb"/>
            <w:noWrap w:val="false"/>
          </w:tcPr>
          <w:p>
            <w:pPr>
              <w:pStyle w:val="1011"/>
              <w:rPr>
                <w:rFonts w:eastAsia="Arial"/>
                <w:lang w:eastAsia="en-US"/>
              </w:rPr>
            </w:pPr>
            <w:r>
              <w:rPr>
                <w:rFonts w:eastAsia="Arial"/>
                <w:lang w:eastAsia="en-US"/>
              </w:rPr>
            </w:r>
            <w:r/>
          </w:p>
        </w:tc>
        <w:tc>
          <w:tcPr>
            <w:tcW w:w="1660" w:type="dxa"/>
            <w:vAlign w:val="top"/>
            <w:textDirection w:val="lrTb"/>
            <w:noWrap w:val="false"/>
          </w:tcPr>
          <w:p>
            <w:pPr>
              <w:pStyle w:val="1011"/>
              <w:rPr>
                <w:rFonts w:eastAsia="Arial"/>
                <w:lang w:eastAsia="en-US"/>
              </w:rPr>
            </w:pPr>
            <w:r>
              <w:rPr>
                <w:rFonts w:eastAsia="Arial"/>
                <w:lang w:eastAsia="en-US"/>
              </w:rPr>
            </w:r>
            <w:r/>
          </w:p>
        </w:tc>
        <w:tc>
          <w:tcPr>
            <w:tcW w:w="1576" w:type="dxa"/>
            <w:vAlign w:val="top"/>
            <w:textDirection w:val="lrTb"/>
            <w:noWrap w:val="false"/>
          </w:tcPr>
          <w:p>
            <w:pPr>
              <w:pStyle w:val="1011"/>
              <w:rPr>
                <w:rFonts w:eastAsia="Arial"/>
                <w:lang w:eastAsia="en-US"/>
              </w:rPr>
            </w:pPr>
            <w:r>
              <w:rPr>
                <w:rFonts w:eastAsia="Arial"/>
                <w:lang w:eastAsia="en-US"/>
              </w:rPr>
            </w:r>
            <w:r/>
          </w:p>
        </w:tc>
        <w:tc>
          <w:tcPr>
            <w:tcW w:w="1273" w:type="dxa"/>
            <w:vAlign w:val="top"/>
            <w:textDirection w:val="lrTb"/>
            <w:noWrap w:val="false"/>
          </w:tcPr>
          <w:p>
            <w:pPr>
              <w:pStyle w:val="1011"/>
              <w:rPr>
                <w:rFonts w:eastAsia="Arial"/>
                <w:lang w:eastAsia="en-US"/>
              </w:rPr>
            </w:pPr>
            <w:r>
              <w:rPr>
                <w:rFonts w:eastAsia="Arial"/>
                <w:lang w:eastAsia="en-US"/>
              </w:rPr>
            </w:r>
            <w:r/>
          </w:p>
        </w:tc>
        <w:tc>
          <w:tcPr>
            <w:tcW w:w="1422" w:type="dxa"/>
            <w:vAlign w:val="top"/>
            <w:textDirection w:val="lrTb"/>
            <w:noWrap w:val="false"/>
          </w:tcPr>
          <w:p>
            <w:pPr>
              <w:pStyle w:val="1011"/>
              <w:rPr>
                <w:rFonts w:eastAsia="Arial"/>
                <w:lang w:eastAsia="en-US"/>
              </w:rPr>
            </w:pPr>
            <w:r>
              <w:rPr>
                <w:rFonts w:eastAsia="Arial"/>
                <w:lang w:eastAsia="en-US"/>
              </w:rPr>
            </w:r>
            <w:r/>
          </w:p>
        </w:tc>
      </w:tr>
      <w:tr>
        <w:trPr>
          <w:trHeight w:val="685"/>
        </w:trPr>
        <w:tc>
          <w:tcPr>
            <w:tcW w:w="727" w:type="dxa"/>
            <w:vAlign w:val="top"/>
            <w:textDirection w:val="lrTb"/>
            <w:noWrap w:val="false"/>
          </w:tcPr>
          <w:p>
            <w:pPr>
              <w:pStyle w:val="1011"/>
              <w:rPr>
                <w:rFonts w:eastAsia="Arial"/>
                <w:lang w:eastAsia="en-US"/>
              </w:rPr>
            </w:pPr>
            <w:r>
              <w:rPr>
                <w:rFonts w:eastAsia="Arial"/>
                <w:lang w:eastAsia="en-US"/>
              </w:rPr>
            </w:r>
            <w:r/>
          </w:p>
        </w:tc>
        <w:tc>
          <w:tcPr>
            <w:tcW w:w="1473" w:type="dxa"/>
            <w:vAlign w:val="top"/>
            <w:textDirection w:val="lrTb"/>
            <w:noWrap w:val="false"/>
          </w:tcPr>
          <w:p>
            <w:pPr>
              <w:pStyle w:val="1011"/>
              <w:rPr>
                <w:rFonts w:eastAsia="Arial"/>
                <w:lang w:eastAsia="en-US"/>
              </w:rPr>
            </w:pPr>
            <w:r>
              <w:rPr>
                <w:rFonts w:eastAsia="Arial"/>
                <w:lang w:eastAsia="en-US"/>
              </w:rPr>
            </w:r>
            <w:r/>
          </w:p>
        </w:tc>
        <w:tc>
          <w:tcPr>
            <w:tcW w:w="1660" w:type="dxa"/>
            <w:vAlign w:val="top"/>
            <w:textDirection w:val="lrTb"/>
            <w:noWrap w:val="false"/>
          </w:tcPr>
          <w:p>
            <w:pPr>
              <w:pStyle w:val="1011"/>
              <w:rPr>
                <w:rFonts w:eastAsia="Arial"/>
                <w:lang w:eastAsia="en-US"/>
              </w:rPr>
            </w:pPr>
            <w:r>
              <w:rPr>
                <w:rFonts w:eastAsia="Arial"/>
                <w:lang w:eastAsia="en-US"/>
              </w:rPr>
            </w:r>
            <w:r/>
          </w:p>
        </w:tc>
        <w:tc>
          <w:tcPr>
            <w:tcW w:w="1660" w:type="dxa"/>
            <w:vAlign w:val="top"/>
            <w:textDirection w:val="lrTb"/>
            <w:noWrap w:val="false"/>
          </w:tcPr>
          <w:p>
            <w:pPr>
              <w:pStyle w:val="1011"/>
              <w:rPr>
                <w:rFonts w:eastAsia="Arial"/>
                <w:lang w:eastAsia="en-US"/>
              </w:rPr>
            </w:pPr>
            <w:r>
              <w:rPr>
                <w:rFonts w:eastAsia="Arial"/>
                <w:lang w:eastAsia="en-US"/>
              </w:rPr>
            </w:r>
            <w:r/>
          </w:p>
        </w:tc>
        <w:tc>
          <w:tcPr>
            <w:tcW w:w="1576" w:type="dxa"/>
            <w:vAlign w:val="top"/>
            <w:textDirection w:val="lrTb"/>
            <w:noWrap w:val="false"/>
          </w:tcPr>
          <w:p>
            <w:pPr>
              <w:pStyle w:val="1011"/>
              <w:rPr>
                <w:rFonts w:eastAsia="Arial"/>
                <w:lang w:eastAsia="en-US"/>
              </w:rPr>
            </w:pPr>
            <w:r>
              <w:rPr>
                <w:rFonts w:eastAsia="Arial"/>
                <w:lang w:eastAsia="en-US"/>
              </w:rPr>
            </w:r>
            <w:r/>
          </w:p>
        </w:tc>
        <w:tc>
          <w:tcPr>
            <w:tcW w:w="1273" w:type="dxa"/>
            <w:vAlign w:val="top"/>
            <w:textDirection w:val="lrTb"/>
            <w:noWrap w:val="false"/>
          </w:tcPr>
          <w:p>
            <w:pPr>
              <w:pStyle w:val="1011"/>
              <w:rPr>
                <w:rFonts w:eastAsia="Arial"/>
                <w:lang w:eastAsia="en-US"/>
              </w:rPr>
            </w:pPr>
            <w:r>
              <w:rPr>
                <w:rFonts w:eastAsia="Arial"/>
                <w:lang w:eastAsia="en-US"/>
              </w:rPr>
            </w:r>
            <w:r/>
          </w:p>
        </w:tc>
        <w:tc>
          <w:tcPr>
            <w:tcW w:w="1422" w:type="dxa"/>
            <w:vAlign w:val="top"/>
            <w:textDirection w:val="lrTb"/>
            <w:noWrap w:val="false"/>
          </w:tcPr>
          <w:p>
            <w:pPr>
              <w:pStyle w:val="1011"/>
              <w:rPr>
                <w:rFonts w:eastAsia="Arial"/>
                <w:lang w:eastAsia="en-US"/>
              </w:rPr>
            </w:pPr>
            <w:r>
              <w:rPr>
                <w:rFonts w:eastAsia="Arial"/>
                <w:lang w:eastAsia="en-US"/>
              </w:rPr>
            </w:r>
            <w:r/>
          </w:p>
        </w:tc>
      </w:tr>
      <w:tr>
        <w:trPr>
          <w:trHeight w:val="683"/>
        </w:trPr>
        <w:tc>
          <w:tcPr>
            <w:tcW w:w="727" w:type="dxa"/>
            <w:vAlign w:val="top"/>
            <w:textDirection w:val="lrTb"/>
            <w:noWrap w:val="false"/>
          </w:tcPr>
          <w:p>
            <w:pPr>
              <w:pStyle w:val="1011"/>
              <w:rPr>
                <w:rFonts w:eastAsia="Arial"/>
                <w:lang w:eastAsia="en-US"/>
              </w:rPr>
            </w:pPr>
            <w:r>
              <w:rPr>
                <w:rFonts w:eastAsia="Arial"/>
                <w:lang w:eastAsia="en-US"/>
              </w:rPr>
            </w:r>
            <w:r/>
          </w:p>
        </w:tc>
        <w:tc>
          <w:tcPr>
            <w:tcW w:w="1473" w:type="dxa"/>
            <w:vAlign w:val="top"/>
            <w:textDirection w:val="lrTb"/>
            <w:noWrap w:val="false"/>
          </w:tcPr>
          <w:p>
            <w:pPr>
              <w:pStyle w:val="1011"/>
              <w:rPr>
                <w:rFonts w:eastAsia="Arial"/>
                <w:lang w:eastAsia="en-US"/>
              </w:rPr>
            </w:pPr>
            <w:r>
              <w:rPr>
                <w:rFonts w:eastAsia="Arial"/>
                <w:lang w:eastAsia="en-US"/>
              </w:rPr>
            </w:r>
            <w:r/>
          </w:p>
        </w:tc>
        <w:tc>
          <w:tcPr>
            <w:tcW w:w="1660" w:type="dxa"/>
            <w:vAlign w:val="top"/>
            <w:textDirection w:val="lrTb"/>
            <w:noWrap w:val="false"/>
          </w:tcPr>
          <w:p>
            <w:pPr>
              <w:pStyle w:val="1011"/>
              <w:rPr>
                <w:rFonts w:eastAsia="Arial"/>
                <w:lang w:eastAsia="en-US"/>
              </w:rPr>
            </w:pPr>
            <w:r>
              <w:rPr>
                <w:rFonts w:eastAsia="Arial"/>
                <w:lang w:eastAsia="en-US"/>
              </w:rPr>
            </w:r>
            <w:r/>
          </w:p>
        </w:tc>
        <w:tc>
          <w:tcPr>
            <w:tcW w:w="1660" w:type="dxa"/>
            <w:vAlign w:val="top"/>
            <w:textDirection w:val="lrTb"/>
            <w:noWrap w:val="false"/>
          </w:tcPr>
          <w:p>
            <w:pPr>
              <w:pStyle w:val="1011"/>
              <w:rPr>
                <w:rFonts w:eastAsia="Arial"/>
                <w:lang w:eastAsia="en-US"/>
              </w:rPr>
            </w:pPr>
            <w:r>
              <w:rPr>
                <w:rFonts w:eastAsia="Arial"/>
                <w:lang w:eastAsia="en-US"/>
              </w:rPr>
            </w:r>
            <w:r/>
          </w:p>
        </w:tc>
        <w:tc>
          <w:tcPr>
            <w:tcW w:w="1576" w:type="dxa"/>
            <w:vAlign w:val="top"/>
            <w:textDirection w:val="lrTb"/>
            <w:noWrap w:val="false"/>
          </w:tcPr>
          <w:p>
            <w:pPr>
              <w:pStyle w:val="1011"/>
              <w:rPr>
                <w:rFonts w:eastAsia="Arial"/>
                <w:lang w:eastAsia="en-US"/>
              </w:rPr>
            </w:pPr>
            <w:r>
              <w:rPr>
                <w:rFonts w:eastAsia="Arial"/>
                <w:lang w:eastAsia="en-US"/>
              </w:rPr>
            </w:r>
            <w:r/>
          </w:p>
        </w:tc>
        <w:tc>
          <w:tcPr>
            <w:tcW w:w="1273" w:type="dxa"/>
            <w:vAlign w:val="top"/>
            <w:textDirection w:val="lrTb"/>
            <w:noWrap w:val="false"/>
          </w:tcPr>
          <w:p>
            <w:pPr>
              <w:pStyle w:val="1011"/>
              <w:rPr>
                <w:rFonts w:eastAsia="Arial"/>
                <w:lang w:eastAsia="en-US"/>
              </w:rPr>
            </w:pPr>
            <w:r>
              <w:rPr>
                <w:rFonts w:eastAsia="Arial"/>
                <w:lang w:eastAsia="en-US"/>
              </w:rPr>
            </w:r>
            <w:r/>
          </w:p>
        </w:tc>
        <w:tc>
          <w:tcPr>
            <w:tcW w:w="1422" w:type="dxa"/>
            <w:vAlign w:val="top"/>
            <w:textDirection w:val="lrTb"/>
            <w:noWrap w:val="false"/>
          </w:tcPr>
          <w:p>
            <w:pPr>
              <w:pStyle w:val="1011"/>
              <w:rPr>
                <w:rFonts w:eastAsia="Arial"/>
                <w:lang w:eastAsia="en-US"/>
              </w:rPr>
            </w:pPr>
            <w:r>
              <w:rPr>
                <w:rFonts w:eastAsia="Arial"/>
                <w:lang w:eastAsia="en-US"/>
              </w:rPr>
            </w:r>
            <w:r/>
          </w:p>
        </w:tc>
      </w:tr>
      <w:tr>
        <w:trPr>
          <w:trHeight w:val="690"/>
        </w:trPr>
        <w:tc>
          <w:tcPr>
            <w:tcW w:w="727" w:type="dxa"/>
            <w:vAlign w:val="top"/>
            <w:textDirection w:val="lrTb"/>
            <w:noWrap w:val="false"/>
          </w:tcPr>
          <w:p>
            <w:pPr>
              <w:pStyle w:val="1011"/>
              <w:rPr>
                <w:rFonts w:eastAsia="Arial"/>
                <w:lang w:eastAsia="en-US"/>
              </w:rPr>
            </w:pPr>
            <w:r>
              <w:rPr>
                <w:rFonts w:eastAsia="Arial"/>
                <w:lang w:eastAsia="en-US"/>
              </w:rPr>
            </w:r>
            <w:r/>
          </w:p>
        </w:tc>
        <w:tc>
          <w:tcPr>
            <w:tcW w:w="1473" w:type="dxa"/>
            <w:vAlign w:val="top"/>
            <w:textDirection w:val="lrTb"/>
            <w:noWrap w:val="false"/>
          </w:tcPr>
          <w:p>
            <w:pPr>
              <w:pStyle w:val="1011"/>
              <w:rPr>
                <w:rFonts w:eastAsia="Arial"/>
                <w:lang w:eastAsia="en-US"/>
              </w:rPr>
            </w:pPr>
            <w:r>
              <w:rPr>
                <w:rFonts w:eastAsia="Arial"/>
                <w:lang w:eastAsia="en-US"/>
              </w:rPr>
            </w:r>
            <w:r/>
          </w:p>
        </w:tc>
        <w:tc>
          <w:tcPr>
            <w:tcW w:w="1660" w:type="dxa"/>
            <w:vAlign w:val="top"/>
            <w:textDirection w:val="lrTb"/>
            <w:noWrap w:val="false"/>
          </w:tcPr>
          <w:p>
            <w:pPr>
              <w:pStyle w:val="1011"/>
              <w:rPr>
                <w:rFonts w:eastAsia="Arial"/>
                <w:lang w:eastAsia="en-US"/>
              </w:rPr>
            </w:pPr>
            <w:r>
              <w:rPr>
                <w:rFonts w:eastAsia="Arial"/>
                <w:lang w:eastAsia="en-US"/>
              </w:rPr>
            </w:r>
            <w:r/>
          </w:p>
        </w:tc>
        <w:tc>
          <w:tcPr>
            <w:tcW w:w="1660" w:type="dxa"/>
            <w:vAlign w:val="top"/>
            <w:textDirection w:val="lrTb"/>
            <w:noWrap w:val="false"/>
          </w:tcPr>
          <w:p>
            <w:pPr>
              <w:pStyle w:val="1011"/>
              <w:rPr>
                <w:rFonts w:eastAsia="Arial"/>
                <w:lang w:eastAsia="en-US"/>
              </w:rPr>
            </w:pPr>
            <w:r>
              <w:rPr>
                <w:rFonts w:eastAsia="Arial"/>
                <w:lang w:eastAsia="en-US"/>
              </w:rPr>
            </w:r>
            <w:r/>
          </w:p>
        </w:tc>
        <w:tc>
          <w:tcPr>
            <w:tcW w:w="1576" w:type="dxa"/>
            <w:vAlign w:val="top"/>
            <w:textDirection w:val="lrTb"/>
            <w:noWrap w:val="false"/>
          </w:tcPr>
          <w:p>
            <w:pPr>
              <w:pStyle w:val="1011"/>
              <w:rPr>
                <w:rFonts w:eastAsia="Arial"/>
                <w:lang w:eastAsia="en-US"/>
              </w:rPr>
            </w:pPr>
            <w:r>
              <w:rPr>
                <w:rFonts w:eastAsia="Arial"/>
                <w:lang w:eastAsia="en-US"/>
              </w:rPr>
            </w:r>
            <w:r/>
          </w:p>
        </w:tc>
        <w:tc>
          <w:tcPr>
            <w:tcW w:w="1273" w:type="dxa"/>
            <w:vAlign w:val="top"/>
            <w:textDirection w:val="lrTb"/>
            <w:noWrap w:val="false"/>
          </w:tcPr>
          <w:p>
            <w:pPr>
              <w:pStyle w:val="1011"/>
              <w:rPr>
                <w:rFonts w:eastAsia="Arial"/>
                <w:lang w:eastAsia="en-US"/>
              </w:rPr>
            </w:pPr>
            <w:r>
              <w:rPr>
                <w:rFonts w:eastAsia="Arial"/>
                <w:lang w:eastAsia="en-US"/>
              </w:rPr>
            </w:r>
            <w:r/>
          </w:p>
        </w:tc>
        <w:tc>
          <w:tcPr>
            <w:tcW w:w="1422" w:type="dxa"/>
            <w:vAlign w:val="top"/>
            <w:textDirection w:val="lrTb"/>
            <w:noWrap w:val="false"/>
          </w:tcPr>
          <w:p>
            <w:pPr>
              <w:pStyle w:val="1011"/>
              <w:rPr>
                <w:rFonts w:eastAsia="Arial"/>
                <w:lang w:eastAsia="en-US"/>
              </w:rPr>
            </w:pPr>
            <w:r>
              <w:rPr>
                <w:rFonts w:eastAsia="Arial"/>
                <w:lang w:eastAsia="en-US"/>
              </w:rPr>
            </w:r>
            <w:r/>
          </w:p>
        </w:tc>
      </w:tr>
    </w:tbl>
    <w:p>
      <w:pPr>
        <w:pStyle w:val="1182"/>
        <w:spacing w:line="247" w:lineRule="auto"/>
      </w:pPr>
      <w:r/>
      <w:r/>
    </w:p>
    <w:p>
      <w:pPr>
        <w:pStyle w:val="1182"/>
        <w:spacing w:line="247" w:lineRule="auto"/>
      </w:pPr>
      <w:r/>
      <w:r/>
    </w:p>
    <w:p>
      <w:pPr>
        <w:pStyle w:val="1182"/>
        <w:spacing w:line="247" w:lineRule="auto"/>
      </w:pPr>
      <w:r/>
      <w:r/>
    </w:p>
    <w:p>
      <w:pPr>
        <w:pStyle w:val="1182"/>
        <w:spacing w:line="248" w:lineRule="auto"/>
      </w:pPr>
      <w:r/>
      <w:r/>
    </w:p>
    <w:p>
      <w:pPr>
        <w:pStyle w:val="1011"/>
        <w:ind w:left="509"/>
        <w:spacing w:before="68" w:line="221" w:lineRule="auto"/>
      </w:pPr>
      <w:r>
        <w:rPr>
          <w:rFonts w:ascii="宋体" w:hAnsi="宋体" w:cs="宋体"/>
          <w:spacing w:val="-4"/>
        </w:rPr>
        <w:t xml:space="preserve">投标人（公章</w:t>
      </w:r>
      <w:r>
        <w:rPr>
          <w:rFonts w:ascii="宋体" w:hAnsi="宋体" w:cs="宋体"/>
          <w:spacing w:val="1"/>
        </w:rPr>
        <w:t xml:space="preserve">）：</w:t>
      </w:r>
      <w:r>
        <w:rPr>
          <w:rFonts w:ascii="宋体" w:hAnsi="宋体" w:cs="宋体"/>
        </w:rPr>
      </w:r>
      <w:r/>
    </w:p>
    <w:p>
      <w:pPr>
        <w:pStyle w:val="1011"/>
        <w:ind w:left="508"/>
        <w:spacing w:before="216" w:line="221" w:lineRule="auto"/>
        <w:rPr>
          <w:rFonts w:ascii="宋体" w:hAnsi="宋体" w:cs="宋体"/>
        </w:rPr>
      </w:pPr>
      <w:r>
        <w:rPr>
          <w:rFonts w:ascii="宋体" w:hAnsi="宋体" w:cs="宋体"/>
          <w:spacing w:val="-1"/>
        </w:rPr>
        <w:t xml:space="preserve">法定代表人或代理人（签字或盖章</w:t>
      </w:r>
      <w:r>
        <w:rPr>
          <w:rFonts w:ascii="宋体" w:hAnsi="宋体" w:cs="宋体"/>
          <w:spacing w:val="4"/>
        </w:rPr>
        <w:t xml:space="preserve">）：</w:t>
      </w:r>
      <w:r>
        <w:rPr>
          <w:rFonts w:ascii="宋体" w:hAnsi="宋体" w:cs="宋体"/>
        </w:rPr>
      </w:r>
      <w:r/>
    </w:p>
    <w:p>
      <w:pPr>
        <w:pStyle w:val="1011"/>
        <w:ind w:left="543"/>
        <w:spacing w:before="218" w:line="221" w:lineRule="auto"/>
        <w:rPr>
          <w:rFonts w:ascii="宋体" w:hAnsi="宋体" w:cs="宋体"/>
        </w:rPr>
      </w:pPr>
      <w:r>
        <w:rPr>
          <w:rFonts w:ascii="宋体" w:hAnsi="宋体" w:cs="宋体"/>
          <w:spacing w:val="-13"/>
        </w:rPr>
        <w:t xml:space="preserve">日期：年月日</w:t>
      </w:r>
      <w:r>
        <w:rPr>
          <w:rFonts w:ascii="宋体" w:hAnsi="宋体" w:cs="宋体"/>
        </w:rPr>
      </w:r>
      <w:r/>
    </w:p>
    <w:p>
      <w:pPr>
        <w:pStyle w:val="1182"/>
        <w:spacing w:line="258" w:lineRule="auto"/>
      </w:pPr>
      <w:r/>
      <w:r/>
    </w:p>
    <w:p>
      <w:pPr>
        <w:pStyle w:val="1182"/>
        <w:spacing w:line="258" w:lineRule="auto"/>
      </w:pPr>
      <w:r/>
      <w:r/>
    </w:p>
    <w:p>
      <w:pPr>
        <w:pStyle w:val="1182"/>
        <w:spacing w:line="258" w:lineRule="auto"/>
      </w:pPr>
      <w:r/>
      <w:r/>
    </w:p>
    <w:p>
      <w:pPr>
        <w:pStyle w:val="1182"/>
        <w:spacing w:line="258" w:lineRule="auto"/>
      </w:pPr>
      <w:r/>
      <w:r/>
    </w:p>
    <w:p>
      <w:pPr>
        <w:pStyle w:val="1182"/>
        <w:spacing w:line="258" w:lineRule="auto"/>
      </w:pPr>
      <w:r/>
      <w:r/>
    </w:p>
    <w:p>
      <w:pPr>
        <w:pStyle w:val="1011"/>
        <w:ind w:left="90" w:right="87" w:firstLine="419"/>
        <w:spacing w:before="68" w:line="360" w:lineRule="auto"/>
        <w:rPr>
          <w:rFonts w:ascii="宋体" w:hAnsi="宋体" w:cs="宋体"/>
        </w:rPr>
      </w:pPr>
      <w:r>
        <w:rPr>
          <w:rFonts w:ascii="宋体" w:hAnsi="宋体" w:cs="宋体"/>
          <w:b/>
          <w:bCs/>
          <w:spacing w:val="-3"/>
        </w:rPr>
        <w:t xml:space="preserve">注：须提供有效合同原件扫描件，时间以合同签订时间为准；合同应能反应上述业绩</w:t>
      </w:r>
      <w:r>
        <w:rPr>
          <w:rFonts w:ascii="宋体" w:hAnsi="宋体" w:cs="宋体"/>
          <w:b/>
          <w:bCs/>
          <w:spacing w:val="-4"/>
        </w:rPr>
        <w:t xml:space="preserve">信息，否则视为</w:t>
      </w:r>
      <w:r>
        <w:rPr>
          <w:rFonts w:ascii="宋体" w:hAnsi="宋体" w:cs="宋体"/>
          <w:b/>
          <w:bCs/>
          <w:spacing w:val="-5"/>
        </w:rPr>
        <w:t xml:space="preserve">未提供。</w:t>
      </w:r>
      <w:bookmarkEnd w:id="89"/>
      <w:r>
        <w:rPr>
          <w:rFonts w:ascii="宋体" w:hAnsi="宋体" w:cs="宋体"/>
        </w:rPr>
      </w:r>
      <w:r/>
    </w:p>
    <w:p>
      <w:pPr>
        <w:pStyle w:val="1011"/>
        <w:spacing w:line="360" w:lineRule="auto"/>
        <w:rPr>
          <w:rFonts w:ascii="宋体" w:hAnsi="宋体" w:cs="宋体"/>
        </w:rPr>
        <w:sectPr>
          <w:headerReference w:type="default" r:id="rId20"/>
          <w:footnotePr/>
          <w:endnotePr/>
          <w:type w:val="nextPage"/>
          <w:pgSz w:w="11907" w:h="16839" w:orient="portrait"/>
          <w:pgMar w:top="921" w:right="1056" w:bottom="676" w:left="1053" w:header="601" w:footer="511" w:gutter="0"/>
          <w:cols w:num="1" w:sep="0" w:space="720" w:equalWidth="1"/>
          <w:docGrid w:linePitch="360"/>
        </w:sectPr>
      </w:pPr>
      <w:r>
        <w:rPr>
          <w:rFonts w:ascii="宋体" w:hAnsi="宋体" w:cs="宋体"/>
        </w:rPr>
      </w:r>
      <w:r/>
    </w:p>
    <w:p>
      <w:pPr>
        <w:pStyle w:val="1011"/>
        <w:ind w:left="3341"/>
        <w:spacing w:before="136" w:line="225" w:lineRule="auto"/>
        <w:rPr>
          <w:rFonts w:ascii="宋体" w:hAnsi="宋体" w:cs="宋体"/>
          <w:sz w:val="31"/>
          <w:szCs w:val="31"/>
        </w:rPr>
        <w:outlineLvl w:val="0"/>
      </w:pPr>
      <w:r/>
      <w:bookmarkStart w:id="90" w:name="_Toc212041563"/>
      <w:r>
        <w:rPr>
          <w:rFonts w:ascii="宋体" w:hAnsi="宋体" w:cs="宋体"/>
          <w:b/>
          <w:bCs/>
          <w:spacing w:val="6"/>
          <w:sz w:val="31"/>
          <w:szCs w:val="31"/>
        </w:rPr>
        <w:t xml:space="preserve">第四章采购内容</w:t>
      </w:r>
      <w:bookmarkEnd w:id="90"/>
      <w:r>
        <w:rPr>
          <w:rFonts w:ascii="宋体" w:hAnsi="宋体" w:cs="宋体"/>
          <w:sz w:val="31"/>
          <w:szCs w:val="31"/>
        </w:rPr>
      </w:r>
      <w:r/>
    </w:p>
    <w:p>
      <w:pPr>
        <w:pStyle w:val="1011"/>
        <w:ind w:left="36" w:right="59" w:firstLine="424"/>
        <w:jc w:val="both"/>
        <w:spacing w:before="266" w:line="387" w:lineRule="auto"/>
        <w:rPr>
          <w:rFonts w:ascii="宋体" w:hAnsi="宋体" w:cs="宋体"/>
        </w:rPr>
      </w:pPr>
      <w:r>
        <w:rPr>
          <w:rFonts w:ascii="宋体" w:hAnsi="宋体" w:cs="宋体"/>
        </w:rPr>
        <w:t xml:space="preserve">受苏州市吴江区人民政府横扇街道办事处的委托</w:t>
      </w:r>
      <w:r>
        <w:rPr>
          <w:rFonts w:ascii="宋体" w:hAnsi="宋体" w:cs="宋体"/>
          <w:spacing w:val="-1"/>
        </w:rPr>
        <w:t xml:space="preserve">，苏州常发工程咨询有限公司就其所需的2025年横扇街道生活垃圾填埋场渗滤液委托处置服务</w:t>
      </w:r>
      <w:r>
        <w:rPr>
          <w:rFonts w:ascii="宋体" w:hAnsi="宋体" w:cs="宋体"/>
        </w:rPr>
        <w:t xml:space="preserve">项</w:t>
      </w:r>
      <w:r>
        <w:rPr>
          <w:rFonts w:ascii="宋体" w:hAnsi="宋体" w:cs="宋体"/>
          <w:spacing w:val="-1"/>
        </w:rPr>
        <w:t xml:space="preserve">目采用公开招标方式进行采购，欢迎符合资格条件的供应商前</w:t>
      </w:r>
      <w:r>
        <w:rPr>
          <w:rFonts w:ascii="宋体" w:hAnsi="宋体" w:cs="宋体"/>
          <w:spacing w:val="-2"/>
        </w:rPr>
        <w:t xml:space="preserve">来参加。</w:t>
      </w:r>
      <w:r>
        <w:rPr>
          <w:rFonts w:ascii="宋体" w:hAnsi="宋体" w:cs="宋体"/>
        </w:rPr>
      </w:r>
      <w:r/>
    </w:p>
    <w:p>
      <w:pPr>
        <w:pStyle w:val="1011"/>
        <w:ind w:left="462"/>
        <w:spacing w:line="219" w:lineRule="auto"/>
        <w:rPr>
          <w:rFonts w:ascii="宋体" w:hAnsi="宋体" w:cs="宋体"/>
        </w:rPr>
      </w:pPr>
      <w:r/>
      <w:bookmarkStart w:id="91" w:name="OLE_LINK89"/>
      <w:r/>
      <w:bookmarkStart w:id="92" w:name="OLE_LINK88"/>
      <w:r/>
      <w:bookmarkStart w:id="93" w:name="OLE_LINK87"/>
      <w:r>
        <w:rPr>
          <w:rFonts w:ascii="宋体" w:hAnsi="宋体" w:cs="宋体"/>
          <w:b/>
          <w:bCs/>
          <w:spacing w:val="-1"/>
        </w:rPr>
        <w:t xml:space="preserve">一、项目编号：</w:t>
      </w:r>
      <w:r>
        <w:rPr>
          <w:rFonts w:hint="eastAsia" w:ascii="宋体" w:hAnsi="宋体" w:cs="宋体"/>
        </w:rPr>
        <w:t xml:space="preserve">JSZC-320509-SZCF-G2025-0005</w:t>
      </w:r>
      <w:r>
        <w:rPr>
          <w:rFonts w:ascii="宋体" w:hAnsi="宋体" w:cs="宋体"/>
        </w:rPr>
      </w:r>
      <w:r/>
    </w:p>
    <w:p>
      <w:pPr>
        <w:pStyle w:val="1011"/>
        <w:ind w:left="462"/>
        <w:spacing w:before="189" w:line="221" w:lineRule="auto"/>
        <w:rPr>
          <w:rFonts w:ascii="宋体" w:hAnsi="宋体" w:cs="宋体"/>
        </w:rPr>
      </w:pPr>
      <w:r>
        <w:rPr>
          <w:rFonts w:ascii="宋体" w:hAnsi="宋体" w:cs="宋体"/>
          <w:b/>
          <w:bCs/>
          <w:spacing w:val="-1"/>
        </w:rPr>
        <w:t xml:space="preserve">二、项目名称：</w:t>
      </w:r>
      <w:r>
        <w:rPr>
          <w:rFonts w:ascii="宋体" w:hAnsi="宋体" w:cs="宋体"/>
          <w:spacing w:val="-1"/>
        </w:rPr>
        <w:t xml:space="preserve">2025年横扇街道生活垃圾填埋场渗滤液委托处置服务</w:t>
      </w:r>
      <w:r>
        <w:rPr>
          <w:rFonts w:ascii="宋体" w:hAnsi="宋体" w:cs="宋体"/>
        </w:rPr>
      </w:r>
      <w:r/>
    </w:p>
    <w:p>
      <w:pPr>
        <w:pStyle w:val="1011"/>
        <w:ind w:left="449"/>
        <w:spacing w:before="189" w:line="221" w:lineRule="auto"/>
        <w:rPr>
          <w:rFonts w:ascii="宋体" w:hAnsi="宋体" w:cs="宋体"/>
        </w:rPr>
      </w:pPr>
      <w:r>
        <w:rPr>
          <w:rFonts w:ascii="宋体" w:hAnsi="宋体" w:cs="宋体"/>
          <w:b/>
          <w:bCs/>
          <w:spacing w:val="-1"/>
        </w:rPr>
        <w:t xml:space="preserve">三、采购预算：</w:t>
      </w:r>
      <w:bookmarkStart w:id="94" w:name="OLE_LINK85"/>
      <w:r>
        <w:rPr>
          <w:rFonts w:ascii="宋体" w:hAnsi="宋体" w:cs="宋体"/>
          <w:spacing w:val="-1"/>
        </w:rPr>
        <w:t xml:space="preserve">人民币陆佰万元整</w:t>
      </w:r>
      <w:r>
        <w:rPr>
          <w:rFonts w:ascii="宋体" w:hAnsi="宋体" w:cs="宋体"/>
          <w:spacing w:val="-1"/>
        </w:rPr>
        <w:t xml:space="preserve">（小写：</w:t>
      </w:r>
      <w:r>
        <w:rPr>
          <w:rFonts w:hint="eastAsia" w:ascii="宋体" w:hAnsi="宋体" w:cs="宋体"/>
          <w:spacing w:val="-1"/>
        </w:rPr>
        <w:t xml:space="preserve">6000000.00</w:t>
      </w:r>
      <w:r>
        <w:rPr>
          <w:rFonts w:ascii="宋体" w:hAnsi="宋体" w:cs="宋体"/>
          <w:spacing w:val="-1"/>
        </w:rPr>
        <w:t xml:space="preserve">元）</w:t>
      </w:r>
      <w:bookmarkEnd w:id="94"/>
      <w:r>
        <w:rPr>
          <w:rFonts w:ascii="宋体" w:hAnsi="宋体" w:cs="宋体"/>
        </w:rPr>
      </w:r>
      <w:r/>
    </w:p>
    <w:p>
      <w:pPr>
        <w:pStyle w:val="1011"/>
        <w:ind w:left="479"/>
        <w:spacing w:before="188" w:line="220" w:lineRule="auto"/>
        <w:rPr>
          <w:rFonts w:ascii="宋体" w:hAnsi="宋体" w:cs="宋体"/>
          <w:spacing w:val="-1"/>
        </w:rPr>
      </w:pPr>
      <w:r>
        <w:rPr>
          <w:rFonts w:ascii="宋体" w:hAnsi="宋体" w:cs="宋体"/>
          <w:b/>
          <w:bCs/>
          <w:spacing w:val="-3"/>
        </w:rPr>
        <w:t xml:space="preserve">四</w:t>
      </w:r>
      <w:r>
        <w:rPr>
          <w:rFonts w:ascii="宋体" w:hAnsi="宋体" w:cs="宋体"/>
          <w:b/>
          <w:bCs/>
          <w:spacing w:val="-1"/>
        </w:rPr>
        <w:t xml:space="preserve">、</w:t>
      </w:r>
      <w:r>
        <w:rPr>
          <w:rFonts w:hint="eastAsia" w:ascii="宋体" w:hAnsi="宋体" w:cs="宋体"/>
          <w:b/>
          <w:bCs/>
        </w:rPr>
        <w:t xml:space="preserve">最高限价：</w:t>
      </w:r>
      <w:r>
        <w:rPr>
          <w:rFonts w:hint="eastAsia" w:ascii="宋体" w:hAnsi="宋体" w:cs="宋体"/>
          <w:spacing w:val="-1"/>
        </w:rPr>
        <w:t xml:space="preserve">同采购预算，</w:t>
      </w:r>
      <w:bookmarkStart w:id="95" w:name="OLE_LINK86"/>
      <w:r>
        <w:rPr>
          <w:rFonts w:hint="eastAsia" w:ascii="宋体" w:hAnsi="宋体" w:cs="宋体"/>
          <w:spacing w:val="-1"/>
        </w:rPr>
        <w:t xml:space="preserve">综合单价最高限价：</w:t>
      </w:r>
      <w:r>
        <w:rPr>
          <w:rFonts w:hint="eastAsia" w:ascii="宋体" w:hAnsi="宋体" w:cs="宋体"/>
          <w:spacing w:val="-1"/>
        </w:rPr>
        <w:t xml:space="preserve">136.9</w:t>
      </w:r>
      <w:r>
        <w:rPr>
          <w:rFonts w:hint="eastAsia" w:ascii="宋体" w:hAnsi="宋体" w:cs="宋体"/>
          <w:spacing w:val="-1"/>
        </w:rPr>
        <w:t xml:space="preserve">9元/吨</w:t>
      </w:r>
      <w:bookmarkEnd w:id="95"/>
      <w:r>
        <w:rPr>
          <w:rFonts w:ascii="宋体" w:hAnsi="宋体" w:cs="宋体"/>
          <w:spacing w:val="-1"/>
        </w:rPr>
      </w:r>
      <w:r/>
    </w:p>
    <w:p>
      <w:pPr>
        <w:pStyle w:val="1011"/>
        <w:ind w:left="479"/>
        <w:spacing w:before="188" w:line="360" w:lineRule="auto"/>
        <w:rPr>
          <w:rFonts w:ascii="宋体" w:hAnsi="宋体" w:cs="宋体"/>
        </w:rPr>
      </w:pPr>
      <w:r>
        <w:rPr>
          <w:rFonts w:ascii="宋体" w:hAnsi="宋体" w:cs="宋体"/>
          <w:b/>
          <w:bCs/>
          <w:spacing w:val="-1"/>
        </w:rPr>
        <w:t xml:space="preserve">五、合同履行期限：</w:t>
      </w:r>
      <w:r>
        <w:rPr>
          <w:rFonts w:ascii="宋体" w:hAnsi="宋体" w:cs="宋体"/>
          <w:spacing w:val="-1"/>
        </w:rPr>
        <w:t xml:space="preserve">合同签订之日起</w:t>
      </w:r>
      <w:r>
        <w:rPr>
          <w:rFonts w:ascii="Times New Roman" w:hAnsi="Times New Roman" w:eastAsia="Times New Roman" w:cs="Times New Roman"/>
          <w:spacing w:val="-1"/>
        </w:rPr>
        <w:t xml:space="preserve">90 </w:t>
      </w:r>
      <w:r>
        <w:rPr>
          <w:rFonts w:ascii="宋体" w:hAnsi="宋体" w:cs="宋体"/>
          <w:spacing w:val="-1"/>
        </w:rPr>
        <w:t xml:space="preserve">天内完成该项目全部渗滤液处理服务运行所需系统设备的安</w:t>
      </w:r>
      <w:r>
        <w:rPr>
          <w:rFonts w:ascii="宋体" w:hAnsi="宋体" w:cs="宋体"/>
        </w:rPr>
        <w:t xml:space="preserve">装调试并确保试运行验收合格，要求渗滤液处理</w:t>
      </w:r>
      <w:bookmarkStart w:id="96" w:name="OLE_LINK18"/>
      <w:r>
        <w:rPr>
          <w:rFonts w:hint="eastAsia" w:ascii="宋体" w:hAnsi="宋体" w:cs="宋体"/>
        </w:rPr>
        <w:t xml:space="preserve">设备处理能力</w:t>
      </w:r>
      <w:r>
        <w:rPr>
          <w:rFonts w:ascii="宋体" w:hAnsi="宋体" w:cs="宋体"/>
        </w:rPr>
        <w:t xml:space="preserve">不少</w:t>
      </w:r>
      <w:r>
        <w:rPr>
          <w:rFonts w:ascii="宋体" w:hAnsi="宋体" w:cs="宋体"/>
          <w:spacing w:val="-1"/>
        </w:rPr>
        <w:t xml:space="preserve">于</w:t>
      </w:r>
      <w:r>
        <w:rPr>
          <w:rFonts w:ascii="Times New Roman" w:hAnsi="Times New Roman" w:eastAsia="Times New Roman" w:cs="Times New Roman"/>
          <w:spacing w:val="-1"/>
        </w:rPr>
        <w:t xml:space="preserve">40</w:t>
      </w:r>
      <w:r>
        <w:rPr>
          <w:rFonts w:ascii="宋体" w:hAnsi="宋体" w:cs="宋体"/>
          <w:spacing w:val="-1"/>
        </w:rPr>
        <w:t xml:space="preserve">吨</w:t>
      </w:r>
      <w:r>
        <w:rPr>
          <w:rFonts w:ascii="Times New Roman" w:hAnsi="Times New Roman" w:eastAsia="Times New Roman" w:cs="Times New Roman"/>
          <w:spacing w:val="-1"/>
        </w:rPr>
        <w:t xml:space="preserve">/</w:t>
      </w:r>
      <w:r>
        <w:rPr>
          <w:rFonts w:ascii="宋体" w:hAnsi="宋体" w:cs="宋体"/>
          <w:spacing w:val="-1"/>
        </w:rPr>
        <w:t xml:space="preserve">天</w:t>
      </w:r>
      <w:bookmarkEnd w:id="96"/>
      <w:r>
        <w:rPr>
          <w:rFonts w:ascii="宋体" w:hAnsi="宋体" w:cs="宋体"/>
          <w:spacing w:val="-1"/>
        </w:rPr>
        <w:t xml:space="preserve">，且处理规模须满足垃圾填埋场实际渗</w:t>
      </w:r>
      <w:r>
        <w:rPr>
          <w:rFonts w:ascii="宋体" w:hAnsi="宋体" w:cs="宋体"/>
        </w:rPr>
        <w:t xml:space="preserve">滤液量的要求。渗滤液处置服务期限为自试运行验</w:t>
      </w:r>
      <w:r>
        <w:rPr>
          <w:rFonts w:ascii="宋体" w:hAnsi="宋体" w:cs="宋体"/>
          <w:spacing w:val="-1"/>
        </w:rPr>
        <w:t xml:space="preserve">收合格之日起三年（具体按合同约定）</w:t>
      </w:r>
      <w:r>
        <w:rPr>
          <w:rFonts w:hint="eastAsia" w:ascii="宋体" w:hAnsi="宋体" w:cs="宋体"/>
          <w:spacing w:val="-1"/>
        </w:rPr>
        <w:t xml:space="preserve">。</w:t>
      </w:r>
      <w:r>
        <w:rPr>
          <w:rFonts w:ascii="宋体" w:hAnsi="宋体" w:cs="宋体"/>
        </w:rPr>
      </w:r>
      <w:r/>
    </w:p>
    <w:p>
      <w:pPr>
        <w:pStyle w:val="1011"/>
        <w:ind w:left="461"/>
        <w:spacing w:before="187" w:line="221" w:lineRule="auto"/>
        <w:rPr>
          <w:rFonts w:ascii="宋体" w:hAnsi="宋体" w:cs="宋体"/>
        </w:rPr>
      </w:pPr>
      <w:r>
        <w:rPr>
          <w:rFonts w:ascii="宋体" w:hAnsi="宋体" w:cs="宋体"/>
          <w:b/>
          <w:bCs/>
          <w:spacing w:val="-3"/>
        </w:rPr>
        <w:t xml:space="preserve">六、采购内容及相关要求</w:t>
      </w:r>
      <w:r>
        <w:rPr>
          <w:rFonts w:ascii="宋体" w:hAnsi="宋体" w:cs="宋体"/>
        </w:rPr>
      </w:r>
      <w:r/>
    </w:p>
    <w:p>
      <w:pPr>
        <w:pStyle w:val="1011"/>
        <w:ind w:left="465"/>
        <w:spacing w:before="191" w:line="221" w:lineRule="auto"/>
        <w:rPr>
          <w:rFonts w:ascii="宋体" w:hAnsi="宋体" w:cs="宋体"/>
        </w:rPr>
      </w:pPr>
      <w:r>
        <w:rPr>
          <w:rFonts w:ascii="宋体" w:hAnsi="宋体" w:cs="宋体"/>
          <w:b/>
          <w:bCs/>
          <w:spacing w:val="-5"/>
        </w:rPr>
        <w:t xml:space="preserve">（一）项目概况</w:t>
      </w:r>
      <w:r>
        <w:rPr>
          <w:rFonts w:ascii="宋体" w:hAnsi="宋体" w:cs="宋体"/>
        </w:rPr>
      </w:r>
      <w:r/>
    </w:p>
    <w:p>
      <w:pPr>
        <w:pStyle w:val="1011"/>
        <w:ind w:left="37" w:right="6" w:firstLine="418"/>
        <w:jc w:val="both"/>
        <w:spacing w:before="186" w:line="387" w:lineRule="auto"/>
        <w:rPr>
          <w:rFonts w:ascii="宋体" w:hAnsi="宋体" w:cs="宋体"/>
        </w:rPr>
      </w:pPr>
      <w:r>
        <w:rPr>
          <w:rFonts w:ascii="宋体" w:hAnsi="宋体" w:cs="宋体"/>
        </w:rPr>
        <w:t xml:space="preserve">横扇街道生活垃圾填埋场位于位于苏州市吴江区太湖新城镇新湖（东青村</w:t>
      </w:r>
      <w:r>
        <w:rPr>
          <w:rFonts w:ascii="宋体" w:hAnsi="宋体" w:cs="宋体"/>
          <w:spacing w:val="14"/>
        </w:rPr>
        <w:t xml:space="preserve">），</w:t>
      </w:r>
      <w:r>
        <w:rPr>
          <w:rFonts w:ascii="宋体" w:hAnsi="宋体" w:cs="宋体"/>
        </w:rPr>
        <w:t xml:space="preserve">苏震桃公路以东地块， </w:t>
      </w:r>
      <w:r>
        <w:rPr>
          <w:rFonts w:ascii="宋体" w:hAnsi="宋体" w:cs="宋体"/>
          <w:spacing w:val="-1"/>
        </w:rPr>
        <w:t xml:space="preserve">总面积约38930m2；</w:t>
      </w:r>
      <w:r>
        <w:rPr>
          <w:rFonts w:ascii="宋体" w:hAnsi="宋体" w:cs="宋体"/>
          <w:spacing w:val="-2"/>
        </w:rPr>
        <w:t xml:space="preserve">该填埋场有一个渗滤液调节池，池容积约为1000立方米；目前，4个填埋区渗</w:t>
      </w:r>
      <w:r>
        <w:rPr>
          <w:rFonts w:ascii="宋体" w:hAnsi="宋体" w:cs="宋体"/>
          <w:spacing w:val="-3"/>
        </w:rPr>
        <w:t xml:space="preserve">滤液都是通过收集盲管汇集到渗滤液收集井，然后</w:t>
      </w:r>
      <w:r>
        <w:rPr>
          <w:rFonts w:ascii="宋体" w:hAnsi="宋体" w:cs="宋体"/>
          <w:spacing w:val="-1"/>
        </w:rPr>
        <w:t xml:space="preserve">再抽到渗滤液调节池，现阶段渗滤液产量约为30-40吨/天。由于没有填埋场的自然过滤、净化作用，收</w:t>
      </w:r>
      <w:r>
        <w:rPr>
          <w:rFonts w:ascii="宋体" w:hAnsi="宋体" w:cs="宋体"/>
        </w:rPr>
        <w:t xml:space="preserve">集井内的水质较不稳定，对地表水影响较大</w:t>
      </w:r>
      <w:r>
        <w:rPr>
          <w:rFonts w:ascii="宋体" w:hAnsi="宋体" w:cs="宋体"/>
          <w:spacing w:val="-1"/>
        </w:rPr>
        <w:t xml:space="preserve">；故此次招标渗滤液委托处置服务，以实现填埋场渗滤液集中</w:t>
      </w:r>
      <w:r>
        <w:rPr>
          <w:rFonts w:ascii="宋体" w:hAnsi="宋体" w:cs="宋体"/>
          <w:spacing w:val="-3"/>
        </w:rPr>
        <w:t xml:space="preserve">处理达标排放。</w:t>
      </w:r>
      <w:r>
        <w:rPr>
          <w:rFonts w:ascii="宋体" w:hAnsi="宋体" w:cs="宋体"/>
        </w:rPr>
      </w:r>
      <w:r/>
    </w:p>
    <w:p>
      <w:pPr>
        <w:pStyle w:val="1011"/>
        <w:ind w:left="465"/>
        <w:spacing w:line="221" w:lineRule="auto"/>
        <w:rPr>
          <w:rFonts w:ascii="宋体" w:hAnsi="宋体" w:cs="宋体"/>
        </w:rPr>
      </w:pPr>
      <w:r>
        <w:rPr>
          <w:rFonts w:ascii="宋体" w:hAnsi="宋体" w:cs="宋体"/>
          <w:b/>
          <w:bCs/>
          <w:spacing w:val="-5"/>
        </w:rPr>
        <w:t xml:space="preserve">（二）服务内容</w:t>
      </w:r>
      <w:r>
        <w:rPr>
          <w:rFonts w:ascii="宋体" w:hAnsi="宋体" w:cs="宋体"/>
        </w:rPr>
      </w:r>
      <w:r/>
    </w:p>
    <w:p>
      <w:pPr>
        <w:pStyle w:val="1011"/>
        <w:ind w:left="38" w:right="59" w:firstLine="418"/>
        <w:jc w:val="both"/>
        <w:spacing w:before="187" w:line="387" w:lineRule="auto"/>
        <w:rPr>
          <w:rFonts w:ascii="宋体" w:hAnsi="宋体" w:cs="宋体"/>
        </w:rPr>
      </w:pPr>
      <w:r>
        <w:rPr>
          <w:rFonts w:ascii="宋体" w:hAnsi="宋体" w:cs="宋体"/>
          <w:spacing w:val="-1"/>
        </w:rPr>
        <w:t xml:space="preserve">供应商应负责所有为完成本项目服务工作所需要的系统建设及设施设备安装调试运行，做好填埋场渗滤液处理的日常监管工作，确保渗滤液达标达量排放；并建立24小时巡查机制及完善的台账资料，防止</w:t>
      </w:r>
      <w:r>
        <w:rPr>
          <w:rFonts w:ascii="宋体" w:hAnsi="宋体" w:cs="宋体"/>
          <w:spacing w:val="-4"/>
        </w:rPr>
        <w:t xml:space="preserve">意外状况发生。</w:t>
      </w:r>
      <w:r>
        <w:rPr>
          <w:rFonts w:ascii="宋体" w:hAnsi="宋体" w:cs="宋体"/>
        </w:rPr>
      </w:r>
      <w:r/>
    </w:p>
    <w:p>
      <w:pPr>
        <w:pStyle w:val="1011"/>
        <w:ind w:left="475"/>
        <w:spacing w:line="221" w:lineRule="auto"/>
        <w:rPr>
          <w:rFonts w:ascii="宋体" w:hAnsi="宋体" w:cs="宋体"/>
        </w:rPr>
      </w:pPr>
      <w:r>
        <w:rPr>
          <w:rFonts w:ascii="宋体" w:hAnsi="宋体" w:cs="宋体"/>
          <w:b/>
          <w:bCs/>
          <w:spacing w:val="-7"/>
        </w:rPr>
        <w:t xml:space="preserve">1、处理规模</w:t>
      </w:r>
      <w:r>
        <w:rPr>
          <w:rFonts w:ascii="宋体" w:hAnsi="宋体" w:cs="宋体"/>
        </w:rPr>
      </w:r>
      <w:r/>
    </w:p>
    <w:p>
      <w:pPr>
        <w:pStyle w:val="1011"/>
        <w:ind w:left="40" w:firstLine="422"/>
        <w:spacing w:before="190" w:line="331" w:lineRule="auto"/>
        <w:rPr>
          <w:rFonts w:ascii="宋体" w:hAnsi="宋体" w:cs="宋体"/>
        </w:rPr>
      </w:pPr>
      <w:r>
        <w:rPr>
          <w:rFonts w:ascii="宋体" w:hAnsi="宋体" w:cs="宋体"/>
          <w:spacing w:val="-1"/>
        </w:rPr>
        <w:t xml:space="preserve">（1）2025年横扇街道生活垃圾填埋场渗滤液委托处置服务，</w:t>
      </w:r>
      <w:r>
        <w:rPr>
          <w:rFonts w:hint="eastAsia" w:ascii="宋体" w:hAnsi="宋体" w:cs="宋体"/>
        </w:rPr>
        <w:t xml:space="preserve">设备处理能力不少</w:t>
      </w:r>
      <w:r>
        <w:rPr>
          <w:rFonts w:hint="eastAsia" w:ascii="宋体" w:hAnsi="宋体" w:cs="宋体"/>
          <w:spacing w:val="-1"/>
        </w:rPr>
        <w:t xml:space="preserve">于</w:t>
      </w:r>
      <w:r>
        <w:rPr>
          <w:rFonts w:ascii="Times New Roman" w:hAnsi="Times New Roman" w:eastAsia="Times New Roman" w:cs="Times New Roman"/>
          <w:spacing w:val="-1"/>
        </w:rPr>
        <w:t xml:space="preserve">40</w:t>
      </w:r>
      <w:r>
        <w:rPr>
          <w:rFonts w:hint="eastAsia" w:ascii="宋体" w:hAnsi="宋体" w:cs="宋体"/>
          <w:spacing w:val="-1"/>
        </w:rPr>
        <w:t xml:space="preserve">吨</w:t>
      </w:r>
      <w:r>
        <w:rPr>
          <w:rFonts w:ascii="Times New Roman" w:hAnsi="Times New Roman" w:eastAsia="Times New Roman" w:cs="Times New Roman"/>
          <w:spacing w:val="-1"/>
        </w:rPr>
        <w:t xml:space="preserve">/</w:t>
      </w:r>
      <w:r>
        <w:rPr>
          <w:rFonts w:hint="eastAsia" w:ascii="宋体" w:hAnsi="宋体" w:cs="宋体"/>
          <w:spacing w:val="-1"/>
        </w:rPr>
        <w:t xml:space="preserve">天</w:t>
      </w:r>
      <w:r>
        <w:rPr>
          <w:rFonts w:ascii="宋体" w:hAnsi="宋体" w:cs="宋体"/>
          <w:spacing w:val="-1"/>
        </w:rPr>
        <w:t xml:space="preserve">（具体根据该项目的实际渗滤液存量情况</w:t>
      </w:r>
      <w:r>
        <w:rPr>
          <w:rFonts w:ascii="宋体" w:hAnsi="宋体" w:cs="宋体"/>
          <w:spacing w:val="-53"/>
        </w:rPr>
        <w:t xml:space="preserve">），</w:t>
      </w:r>
      <w:r>
        <w:rPr>
          <w:rFonts w:ascii="宋体" w:hAnsi="宋体" w:cs="宋体"/>
          <w:spacing w:val="-1"/>
        </w:rPr>
        <w:t xml:space="preserve">要求渗滤液废水处理设施设备系统采</w:t>
      </w:r>
      <w:r>
        <w:rPr>
          <w:rFonts w:ascii="宋体" w:hAnsi="宋体" w:cs="宋体"/>
          <w:spacing w:val="-2"/>
        </w:rPr>
        <w:t xml:space="preserve">用无易燃易爆安全隐患的工艺流程处理，</w:t>
      </w:r>
      <w:r>
        <w:rPr>
          <w:rFonts w:ascii="宋体" w:hAnsi="宋体" w:cs="宋体"/>
        </w:rPr>
        <w:t xml:space="preserve">具体处理工艺不限，但要求无浓缩液产生，且确保出水水质达到国家及地方规定的</w:t>
      </w:r>
      <w:r>
        <w:rPr>
          <w:rFonts w:ascii="宋体" w:hAnsi="宋体" w:cs="宋体"/>
          <w:spacing w:val="-1"/>
        </w:rPr>
        <w:t xml:space="preserve">出水排放要求。</w:t>
      </w:r>
      <w:r>
        <w:rPr>
          <w:rFonts w:ascii="宋体" w:hAnsi="宋体" w:cs="宋体"/>
        </w:rPr>
      </w:r>
      <w:r/>
    </w:p>
    <w:p>
      <w:pPr>
        <w:pStyle w:val="1011"/>
        <w:ind w:left="38" w:firstLine="424"/>
        <w:spacing w:before="159" w:line="355" w:lineRule="auto"/>
        <w:rPr>
          <w:rFonts w:ascii="宋体" w:hAnsi="宋体" w:cs="宋体"/>
        </w:rPr>
      </w:pPr>
      <w:r>
        <w:rPr>
          <w:rFonts w:ascii="宋体" w:hAnsi="宋体" w:cs="宋体"/>
          <w:spacing w:val="-2"/>
        </w:rPr>
        <w:t xml:space="preserve">（2）供应商除须满足</w:t>
      </w:r>
      <w:r>
        <w:rPr>
          <w:rFonts w:ascii="Times New Roman" w:hAnsi="Times New Roman" w:eastAsia="Times New Roman" w:cs="Times New Roman"/>
          <w:spacing w:val="-2"/>
        </w:rPr>
        <w:t xml:space="preserve">40</w:t>
      </w:r>
      <w:r>
        <w:rPr>
          <w:rFonts w:ascii="宋体" w:hAnsi="宋体" w:cs="宋体"/>
          <w:spacing w:val="-2"/>
        </w:rPr>
        <w:t xml:space="preserve">吨</w:t>
      </w:r>
      <w:r>
        <w:rPr>
          <w:rFonts w:ascii="Times New Roman" w:hAnsi="Times New Roman" w:eastAsia="Times New Roman" w:cs="Times New Roman"/>
          <w:spacing w:val="-2"/>
        </w:rPr>
        <w:t xml:space="preserve">/</w:t>
      </w:r>
      <w:r>
        <w:rPr>
          <w:rFonts w:ascii="宋体" w:hAnsi="宋体" w:cs="宋体"/>
          <w:spacing w:val="-2"/>
        </w:rPr>
        <w:t xml:space="preserve">天的渗滤液日常处理，还可自行完善</w:t>
      </w:r>
      <w:r>
        <w:rPr>
          <w:rFonts w:ascii="宋体" w:hAnsi="宋体" w:cs="宋体"/>
          <w:spacing w:val="-3"/>
        </w:rPr>
        <w:t xml:space="preserve">本项目服务范围内渗滤液收集处理系</w:t>
      </w:r>
      <w:r>
        <w:rPr>
          <w:rFonts w:ascii="宋体" w:hAnsi="宋体" w:cs="宋体"/>
        </w:rPr>
        <w:t xml:space="preserve">统，以应对极端天气以及不可预见情况发生。</w:t>
      </w:r>
      <w:r>
        <w:rPr>
          <w:rFonts w:ascii="宋体" w:hAnsi="宋体" w:cs="宋体"/>
          <w:b/>
          <w:bCs/>
          <w:spacing w:val="-1"/>
        </w:rPr>
        <w:t xml:space="preserve">当遇到渗滤液量增加时，供应商应在接到业主单位通知后，</w:t>
      </w:r>
      <w:r>
        <w:rPr>
          <w:rFonts w:ascii="宋体" w:hAnsi="宋体" w:cs="宋体"/>
          <w:b/>
          <w:bCs/>
          <w:spacing w:val="-2"/>
        </w:rPr>
        <w:t xml:space="preserve">无条件启动应急预案，确保在</w:t>
      </w:r>
      <w:r>
        <w:rPr>
          <w:rFonts w:ascii="Times New Roman" w:hAnsi="Times New Roman" w:eastAsia="Times New Roman" w:cs="Times New Roman"/>
          <w:b/>
          <w:bCs/>
          <w:spacing w:val="-2"/>
        </w:rPr>
        <w:t xml:space="preserve">10 </w:t>
      </w:r>
      <w:r>
        <w:rPr>
          <w:rFonts w:ascii="宋体" w:hAnsi="宋体" w:cs="宋体"/>
          <w:b/>
          <w:bCs/>
          <w:spacing w:val="-2"/>
        </w:rPr>
        <w:t xml:space="preserve">天内增加至</w:t>
      </w:r>
      <w:r>
        <w:rPr>
          <w:rFonts w:ascii="Times New Roman" w:hAnsi="Times New Roman" w:eastAsia="Times New Roman" w:cs="Times New Roman"/>
          <w:b/>
          <w:bCs/>
          <w:spacing w:val="-2"/>
        </w:rPr>
        <w:t xml:space="preserve">10</w:t>
      </w:r>
      <w:r>
        <w:rPr>
          <w:rFonts w:ascii="Times New Roman" w:hAnsi="Times New Roman" w:eastAsia="Times New Roman" w:cs="Times New Roman"/>
          <w:b/>
          <w:bCs/>
          <w:spacing w:val="-3"/>
        </w:rPr>
        <w:t xml:space="preserve">0</w:t>
      </w:r>
      <w:r>
        <w:rPr>
          <w:rFonts w:ascii="宋体" w:hAnsi="宋体" w:cs="宋体"/>
          <w:b/>
          <w:bCs/>
          <w:spacing w:val="-3"/>
        </w:rPr>
        <w:t xml:space="preserve">吨</w:t>
      </w:r>
      <w:r>
        <w:rPr>
          <w:rFonts w:ascii="Times New Roman" w:hAnsi="Times New Roman" w:eastAsia="Times New Roman" w:cs="Times New Roman"/>
          <w:b/>
          <w:bCs/>
          <w:spacing w:val="-3"/>
        </w:rPr>
        <w:t xml:space="preserve">/</w:t>
      </w:r>
      <w:r>
        <w:rPr>
          <w:rFonts w:ascii="宋体" w:hAnsi="宋体" w:cs="宋体"/>
          <w:b/>
          <w:bCs/>
          <w:spacing w:val="-3"/>
        </w:rPr>
        <w:t xml:space="preserve">天的渗滤液处理量，以满足现场所有渗滤液的有效处</w:t>
      </w:r>
      <w:r>
        <w:rPr>
          <w:rFonts w:ascii="宋体" w:hAnsi="宋体" w:cs="宋体"/>
          <w:b/>
          <w:bCs/>
          <w:spacing w:val="-12"/>
        </w:rPr>
        <w:t xml:space="preserve">理。</w:t>
      </w:r>
      <w:r>
        <w:rPr>
          <w:rFonts w:ascii="宋体" w:hAnsi="宋体" w:cs="宋体"/>
        </w:rPr>
      </w:r>
      <w:r/>
    </w:p>
    <w:p>
      <w:pPr>
        <w:pStyle w:val="1011"/>
        <w:ind w:left="461"/>
        <w:spacing w:before="176" w:line="221" w:lineRule="auto"/>
        <w:rPr>
          <w:rFonts w:ascii="宋体" w:hAnsi="宋体" w:cs="宋体"/>
        </w:rPr>
      </w:pPr>
      <w:r>
        <w:rPr>
          <w:rFonts w:ascii="宋体" w:hAnsi="宋体" w:cs="宋体"/>
          <w:b/>
          <w:bCs/>
          <w:spacing w:val="-6"/>
        </w:rPr>
        <w:t xml:space="preserve">2、进出水水质</w:t>
      </w:r>
      <w:r>
        <w:rPr>
          <w:rFonts w:ascii="宋体" w:hAnsi="宋体" w:cs="宋体"/>
        </w:rPr>
      </w:r>
      <w:r/>
    </w:p>
    <w:p>
      <w:pPr>
        <w:pStyle w:val="1011"/>
        <w:ind w:left="455"/>
        <w:spacing w:before="187" w:line="221" w:lineRule="auto"/>
        <w:rPr>
          <w:rFonts w:ascii="宋体" w:hAnsi="宋体" w:cs="宋体"/>
        </w:rPr>
      </w:pPr>
      <w:r>
        <w:rPr>
          <w:rFonts w:ascii="宋体" w:hAnsi="宋体" w:cs="宋体"/>
          <w:spacing w:val="15"/>
        </w:rPr>
        <w:t xml:space="preserve">进水水质由供应商自行监测，处理后的出水水质应满足《生活垃圾填埋场污染控制标准》（</w:t>
      </w:r>
      <w:bookmarkStart w:id="97" w:name="OLE_LINK5"/>
      <w:r>
        <w:rPr>
          <w:rFonts w:ascii="宋体" w:hAnsi="宋体" w:cs="宋体"/>
        </w:rPr>
        <w:t xml:space="preserve">GB 16889-2024</w:t>
      </w:r>
      <w:r>
        <w:rPr>
          <w:rFonts w:ascii="宋体" w:hAnsi="宋体" w:cs="宋体"/>
          <w:spacing w:val="-1"/>
        </w:rPr>
        <w:t xml:space="preserve">）</w:t>
      </w:r>
      <w:bookmarkEnd w:id="97"/>
      <w:r>
        <w:rPr>
          <w:rFonts w:ascii="宋体" w:hAnsi="宋体" w:cs="宋体"/>
          <w:spacing w:val="-1"/>
        </w:rPr>
        <w:t xml:space="preserve">中“表 2  现有和新建生活垃圾填埋场水污染物排放质量浓度限值”的要求，其中溶解性总固体（TDS）应满足《污水排入城镇下水道水质标准》(GB/T 31962-2015</w:t>
      </w:r>
      <w:r>
        <w:rPr>
          <w:rFonts w:ascii="宋体" w:hAnsi="宋体" w:cs="宋体"/>
          <w:spacing w:val="-2"/>
        </w:rPr>
        <w:t xml:space="preserve">)中“表 1  污水排入城镇下水道</w:t>
      </w:r>
      <w:r>
        <w:rPr>
          <w:rFonts w:ascii="宋体" w:hAnsi="宋体" w:cs="宋体"/>
          <w:spacing w:val="-1"/>
        </w:rPr>
        <w:t xml:space="preserve">水质等级标准（最高允许值，pH值除外）”中C等级标准的要求，最终排污市政管网，产生的固体废物由供应商自行外运处置。</w:t>
      </w:r>
      <w:r>
        <w:rPr>
          <w:rFonts w:ascii="宋体" w:hAnsi="宋体" w:cs="宋体"/>
        </w:rPr>
      </w:r>
      <w:r/>
    </w:p>
    <w:p>
      <w:pPr>
        <w:pStyle w:val="1011"/>
        <w:ind w:left="465"/>
        <w:spacing w:line="221" w:lineRule="auto"/>
        <w:rPr>
          <w:rFonts w:ascii="宋体" w:hAnsi="宋体" w:cs="宋体"/>
        </w:rPr>
      </w:pPr>
      <w:r>
        <w:rPr>
          <w:rFonts w:ascii="宋体" w:hAnsi="宋体" w:cs="宋体"/>
          <w:b/>
          <w:bCs/>
          <w:spacing w:val="-5"/>
        </w:rPr>
        <w:t xml:space="preserve">（三）服务要求</w:t>
      </w:r>
      <w:r>
        <w:rPr>
          <w:rFonts w:ascii="宋体" w:hAnsi="宋体" w:cs="宋体"/>
        </w:rPr>
      </w:r>
      <w:r/>
    </w:p>
    <w:p>
      <w:pPr>
        <w:pStyle w:val="1011"/>
        <w:ind w:left="475"/>
        <w:spacing w:before="190" w:line="221" w:lineRule="auto"/>
        <w:rPr>
          <w:rFonts w:ascii="宋体" w:hAnsi="宋体" w:cs="宋体"/>
        </w:rPr>
      </w:pPr>
      <w:r>
        <w:rPr>
          <w:rFonts w:ascii="宋体" w:hAnsi="宋体" w:cs="宋体"/>
          <w:b/>
          <w:bCs/>
          <w:spacing w:val="-5"/>
        </w:rPr>
        <w:t xml:space="preserve">1、水质监控及检测要求</w:t>
      </w:r>
      <w:r>
        <w:rPr>
          <w:rFonts w:ascii="宋体" w:hAnsi="宋体" w:cs="宋体"/>
        </w:rPr>
      </w:r>
      <w:r/>
    </w:p>
    <w:p>
      <w:pPr>
        <w:pStyle w:val="1011"/>
        <w:ind w:left="34" w:firstLine="428"/>
        <w:spacing w:before="187" w:line="366" w:lineRule="auto"/>
        <w:rPr>
          <w:rFonts w:ascii="宋体" w:hAnsi="宋体" w:cs="宋体"/>
        </w:rPr>
      </w:pPr>
      <w:r>
        <w:rPr>
          <w:rFonts w:ascii="宋体" w:hAnsi="宋体" w:cs="宋体"/>
          <w:spacing w:val="-2"/>
        </w:rPr>
        <w:t xml:space="preserve">（1）供应商需确保现场有完善的在线监控及处理设备（本项目至少须进行水质在线监测p</w:t>
      </w:r>
      <w:r>
        <w:rPr>
          <w:rFonts w:ascii="宋体" w:hAnsi="宋体" w:cs="宋体"/>
          <w:spacing w:val="-3"/>
        </w:rPr>
        <w:t xml:space="preserve">H、COD、氨</w:t>
      </w:r>
      <w:r>
        <w:rPr>
          <w:rFonts w:ascii="宋体" w:hAnsi="宋体" w:cs="宋体"/>
        </w:rPr>
        <w:t xml:space="preserve">氮）。供应商应配备必要的化验设备设施，并按照</w:t>
      </w:r>
      <w:r>
        <w:rPr>
          <w:rFonts w:ascii="宋体" w:hAnsi="宋体" w:cs="宋体"/>
          <w:spacing w:val="-1"/>
        </w:rPr>
        <w:t xml:space="preserve">有关规定进行日常检验以确保渗滤液处理后达到设计排</w:t>
      </w:r>
      <w:r>
        <w:rPr>
          <w:rFonts w:ascii="宋体" w:hAnsi="宋体" w:cs="宋体"/>
          <w:spacing w:val="1"/>
        </w:rPr>
        <w:t xml:space="preserve">出标准。水质检测方法按国家相关规范和标准执行，检测结果应登记存档（实验室检测项目：污泥浓度、</w:t>
      </w:r>
      <w:r>
        <w:rPr>
          <w:rFonts w:ascii="宋体" w:hAnsi="宋体" w:cs="宋体"/>
        </w:rPr>
        <w:t xml:space="preserve">pH、COD、氨氮、总氮、总磷、悬浮物；定期委托检测：pH、COD、氨氮、总</w:t>
      </w:r>
      <w:r>
        <w:rPr>
          <w:rFonts w:ascii="宋体" w:hAnsi="宋体" w:cs="宋体"/>
          <w:spacing w:val="-1"/>
        </w:rPr>
        <w:t xml:space="preserve">氮、总磷、BOD、悬浮物、色度、粪大肠菌群、总汞、总镉、总铬、六价铬、总砷、总铅）。</w:t>
      </w:r>
      <w:r>
        <w:rPr>
          <w:rFonts w:hint="eastAsia" w:ascii="宋体" w:hAnsi="宋体" w:cs="宋体"/>
          <w:spacing w:val="-1"/>
        </w:rPr>
        <w:t xml:space="preserve">每月25日前，供应商应组织具有相关资质的水质检测机构至现场对出水进行水样抽取</w:t>
      </w:r>
      <w:r>
        <w:rPr>
          <w:rFonts w:ascii="宋体" w:hAnsi="宋体" w:cs="宋体"/>
          <w:spacing w:val="-1"/>
        </w:rPr>
        <w:t xml:space="preserve">进行检测，费</w:t>
      </w:r>
      <w:r>
        <w:rPr>
          <w:rFonts w:ascii="宋体" w:hAnsi="宋体" w:cs="宋体"/>
        </w:rPr>
        <w:t xml:space="preserve">用由供应商承担，含在投标报价之内</w:t>
      </w:r>
      <w:r>
        <w:rPr>
          <w:rFonts w:hint="eastAsia" w:ascii="宋体" w:hAnsi="宋体" w:cs="宋体"/>
        </w:rPr>
        <w:t xml:space="preserve">，</w:t>
      </w:r>
      <w:r>
        <w:rPr>
          <w:rFonts w:hint="eastAsia" w:ascii="宋体" w:hAnsi="宋体" w:cs="宋体"/>
          <w:spacing w:val="-1"/>
        </w:rPr>
        <w:t xml:space="preserve">检测报告应送于采购方存档</w:t>
      </w:r>
      <w:r>
        <w:rPr>
          <w:rFonts w:ascii="宋体" w:hAnsi="宋体" w:cs="宋体"/>
        </w:rPr>
        <w:t xml:space="preserve">。采购单位可根据</w:t>
      </w:r>
      <w:r>
        <w:rPr>
          <w:rFonts w:ascii="宋体" w:hAnsi="宋体" w:cs="宋体"/>
          <w:spacing w:val="-1"/>
        </w:rPr>
        <w:t xml:space="preserve">实际需要增加当月水质检测次数，但所增加的当月</w:t>
      </w:r>
      <w:r>
        <w:rPr>
          <w:rFonts w:ascii="宋体" w:hAnsi="宋体" w:cs="宋体"/>
        </w:rPr>
        <w:t xml:space="preserve">水质检测次数的检测费用由采购单位自行承</w:t>
      </w:r>
      <w:r>
        <w:rPr>
          <w:rFonts w:ascii="宋体" w:hAnsi="宋体" w:cs="宋体"/>
          <w:spacing w:val="-1"/>
        </w:rPr>
        <w:t xml:space="preserve">担。</w:t>
      </w:r>
      <w:r>
        <w:rPr>
          <w:rFonts w:ascii="宋体" w:hAnsi="宋体" w:cs="宋体"/>
        </w:rPr>
      </w:r>
      <w:r/>
    </w:p>
    <w:p>
      <w:pPr>
        <w:pStyle w:val="1011"/>
        <w:ind w:left="37" w:right="72" w:firstLine="426"/>
        <w:spacing w:before="191" w:line="331" w:lineRule="auto"/>
        <w:rPr>
          <w:rFonts w:ascii="宋体" w:hAnsi="宋体" w:cs="宋体"/>
        </w:rPr>
      </w:pPr>
      <w:r>
        <w:rPr>
          <w:rFonts w:ascii="宋体" w:hAnsi="宋体" w:cs="宋体"/>
          <w:spacing w:val="-4"/>
        </w:rPr>
        <w:t xml:space="preserve">（2）供应商在提供服务期间，必须负责渗滤液处理设备的稳定运行并保证出水达到设计标准后排放。</w:t>
      </w:r>
      <w:r>
        <w:rPr>
          <w:rFonts w:ascii="宋体" w:hAnsi="宋体" w:cs="宋体"/>
          <w:spacing w:val="-1"/>
        </w:rPr>
        <w:t xml:space="preserve">因供应商（管理、运营）  的原因发生渗滤液外溢，不达标等事故或问题所造成的一切后果</w:t>
      </w:r>
      <w:r>
        <w:rPr>
          <w:rFonts w:hint="eastAsia" w:ascii="宋体" w:hAnsi="宋体" w:cs="宋体"/>
          <w:spacing w:val="-1"/>
        </w:rPr>
        <w:t xml:space="preserve">均</w:t>
      </w:r>
      <w:r>
        <w:rPr>
          <w:rFonts w:ascii="宋体" w:hAnsi="宋体" w:cs="宋体"/>
          <w:spacing w:val="-1"/>
        </w:rPr>
        <w:t xml:space="preserve">由供应商</w:t>
      </w:r>
      <w:r>
        <w:rPr>
          <w:rFonts w:ascii="宋体" w:hAnsi="宋体" w:cs="宋体"/>
          <w:spacing w:val="-8"/>
        </w:rPr>
        <w:t xml:space="preserve">承担。</w:t>
      </w:r>
      <w:r>
        <w:rPr>
          <w:rFonts w:ascii="宋体" w:hAnsi="宋体" w:cs="宋体"/>
        </w:rPr>
      </w:r>
      <w:r/>
    </w:p>
    <w:p>
      <w:pPr>
        <w:pStyle w:val="1011"/>
        <w:ind w:left="461"/>
        <w:spacing w:before="189" w:line="222" w:lineRule="auto"/>
        <w:rPr>
          <w:rFonts w:ascii="宋体" w:hAnsi="宋体" w:cs="宋体"/>
          <w:b/>
          <w:bCs/>
          <w:spacing w:val="-3"/>
        </w:rPr>
      </w:pPr>
      <w:r/>
      <w:bookmarkStart w:id="98" w:name="OLE_LINK20"/>
      <w:r>
        <w:rPr>
          <w:rFonts w:ascii="宋体" w:hAnsi="宋体" w:cs="宋体"/>
          <w:b/>
          <w:bCs/>
          <w:spacing w:val="-3"/>
        </w:rPr>
        <w:t xml:space="preserve">2、</w:t>
      </w:r>
      <w:bookmarkStart w:id="99" w:name="OLE_LINK13"/>
      <w:r/>
      <w:bookmarkStart w:id="100" w:name="OLE_LINK14"/>
      <w:r>
        <w:rPr>
          <w:rFonts w:hint="eastAsia" w:ascii="宋体" w:hAnsi="宋体" w:cs="宋体"/>
          <w:b/>
          <w:bCs/>
          <w:spacing w:val="-3"/>
        </w:rPr>
        <w:t xml:space="preserve">处理过程中产生的污泥</w:t>
      </w:r>
      <w:bookmarkEnd w:id="99"/>
      <w:r/>
      <w:bookmarkEnd w:id="100"/>
      <w:r>
        <w:rPr>
          <w:rFonts w:hint="eastAsia" w:ascii="宋体" w:hAnsi="宋体" w:cs="宋体"/>
          <w:b/>
          <w:bCs/>
          <w:spacing w:val="-3"/>
        </w:rPr>
        <w:t xml:space="preserve">要求</w:t>
      </w:r>
      <w:r>
        <w:rPr>
          <w:rFonts w:ascii="宋体" w:hAnsi="宋体" w:cs="宋体"/>
          <w:b/>
          <w:bCs/>
          <w:spacing w:val="-3"/>
        </w:rPr>
      </w:r>
      <w:r/>
    </w:p>
    <w:p>
      <w:pPr>
        <w:pStyle w:val="1011"/>
        <w:ind w:left="461"/>
        <w:spacing w:before="189" w:line="222" w:lineRule="auto"/>
        <w:rPr>
          <w:rFonts w:ascii="宋体" w:hAnsi="宋体" w:cs="宋体"/>
          <w:b/>
          <w:bCs/>
          <w:spacing w:val="-3"/>
        </w:rPr>
      </w:pPr>
      <w:r>
        <w:rPr>
          <w:rFonts w:hint="eastAsia" w:ascii="宋体" w:hAnsi="宋体" w:cs="宋体"/>
          <w:spacing w:val="-1"/>
        </w:rPr>
        <w:t xml:space="preserve">处理过程中产生的污泥由由供应商转运至采购方指定单位处理，所产生的费用由供应商自行承担。</w:t>
      </w:r>
      <w:bookmarkEnd w:id="98"/>
      <w:r>
        <w:rPr>
          <w:rFonts w:ascii="宋体" w:hAnsi="宋体" w:cs="宋体"/>
          <w:b/>
          <w:bCs/>
          <w:spacing w:val="-3"/>
        </w:rPr>
      </w:r>
      <w:r/>
    </w:p>
    <w:p>
      <w:pPr>
        <w:pStyle w:val="1011"/>
        <w:ind w:left="461"/>
        <w:spacing w:before="189" w:line="222" w:lineRule="auto"/>
        <w:rPr>
          <w:rFonts w:ascii="宋体" w:hAnsi="宋体" w:cs="宋体"/>
        </w:rPr>
      </w:pPr>
      <w:r>
        <w:rPr>
          <w:rFonts w:hint="eastAsia" w:ascii="宋体" w:hAnsi="宋体" w:cs="宋体"/>
          <w:b/>
          <w:bCs/>
          <w:spacing w:val="-3"/>
        </w:rPr>
        <w:t xml:space="preserve">3.</w:t>
      </w:r>
      <w:r>
        <w:rPr>
          <w:rFonts w:ascii="宋体" w:hAnsi="宋体" w:cs="宋体"/>
          <w:b/>
          <w:bCs/>
          <w:spacing w:val="-3"/>
        </w:rPr>
        <w:t xml:space="preserve">项目人员配备及设备配置要求</w:t>
      </w:r>
      <w:r>
        <w:rPr>
          <w:rFonts w:ascii="宋体" w:hAnsi="宋体" w:cs="宋体"/>
        </w:rPr>
      </w:r>
      <w:r/>
    </w:p>
    <w:p>
      <w:pPr>
        <w:pStyle w:val="1011"/>
        <w:ind w:left="38" w:right="68" w:firstLine="424"/>
        <w:spacing w:before="187" w:line="332" w:lineRule="auto"/>
        <w:rPr>
          <w:rFonts w:ascii="宋体" w:hAnsi="宋体" w:cs="宋体"/>
        </w:rPr>
      </w:pPr>
      <w:r>
        <w:rPr>
          <w:rFonts w:ascii="宋体" w:hAnsi="宋体" w:cs="宋体"/>
          <w:spacing w:val="-1"/>
        </w:rPr>
        <w:t xml:space="preserve">（1）人员配备要求：供应商需自带处理设备和运营人员开展服务，要求配置项目负责人 1 名（负责与采购单位的项目对接责任）及至少3名项目运营人员，</w:t>
      </w:r>
      <w:bookmarkStart w:id="101" w:name="OLE_LINK115"/>
      <w:r>
        <w:rPr>
          <w:rFonts w:ascii="宋体" w:hAnsi="宋体" w:cs="宋体"/>
          <w:spacing w:val="-1"/>
        </w:rPr>
        <w:t xml:space="preserve">配置有限空间或深基坑处理人员</w:t>
      </w:r>
      <w:bookmarkEnd w:id="101"/>
      <w:r>
        <w:rPr>
          <w:rFonts w:ascii="宋体" w:hAnsi="宋体" w:cs="宋体"/>
          <w:spacing w:val="-1"/>
        </w:rPr>
        <w:t xml:space="preserve">，人员配置必须确保能够满足本项目的运行</w:t>
      </w:r>
      <w:r>
        <w:rPr>
          <w:rFonts w:ascii="宋体" w:hAnsi="宋体" w:cs="宋体"/>
          <w:spacing w:val="-2"/>
        </w:rPr>
        <w:t xml:space="preserve">服务需</w:t>
      </w:r>
      <w:r>
        <w:rPr>
          <w:rFonts w:ascii="宋体" w:hAnsi="宋体" w:cs="宋体"/>
          <w:spacing w:val="-10"/>
        </w:rPr>
        <w:t xml:space="preserve">求（配置人员需</w:t>
      </w:r>
      <w:r>
        <w:rPr>
          <w:rFonts w:hint="eastAsia" w:ascii="宋体" w:hAnsi="宋体" w:cs="宋体"/>
          <w:spacing w:val="-10"/>
        </w:rPr>
        <w:t xml:space="preserve">提供投标单位为其缴纳的社保证明</w:t>
      </w:r>
      <w:r>
        <w:rPr>
          <w:rFonts w:ascii="宋体" w:hAnsi="宋体" w:cs="宋体"/>
          <w:spacing w:val="-10"/>
        </w:rPr>
        <w:t xml:space="preserve">）。</w:t>
      </w:r>
      <w:r>
        <w:rPr>
          <w:rFonts w:ascii="宋体" w:hAnsi="宋体" w:cs="宋体"/>
        </w:rPr>
      </w:r>
      <w:r/>
    </w:p>
    <w:p>
      <w:pPr>
        <w:pStyle w:val="1011"/>
        <w:ind w:left="37" w:right="71" w:firstLine="426"/>
        <w:spacing w:before="188" w:line="345" w:lineRule="auto"/>
        <w:rPr>
          <w:rFonts w:ascii="宋体" w:hAnsi="宋体" w:cs="宋体"/>
        </w:rPr>
      </w:pPr>
      <w:r>
        <w:rPr>
          <w:rFonts w:ascii="宋体" w:hAnsi="宋体" w:cs="宋体"/>
          <w:spacing w:val="2"/>
        </w:rPr>
        <w:t xml:space="preserve">（2）设备配置要求：供应商应为本项目配置能够完全满足</w:t>
      </w:r>
      <w:r>
        <w:rPr>
          <w:rFonts w:ascii="宋体" w:hAnsi="宋体" w:cs="宋体"/>
          <w:spacing w:val="1"/>
        </w:rPr>
        <w:t xml:space="preserve">本项目处理工艺及日处理量所需的全部技</w:t>
      </w:r>
      <w:r>
        <w:rPr>
          <w:rFonts w:ascii="宋体" w:hAnsi="宋体" w:cs="宋体"/>
          <w:spacing w:val="-3"/>
        </w:rPr>
        <w:t xml:space="preserve">术设备</w:t>
      </w:r>
      <w:r>
        <w:rPr>
          <w:rFonts w:ascii="宋体" w:hAnsi="宋体" w:cs="宋体"/>
          <w:b/>
          <w:bCs/>
          <w:spacing w:val="-3"/>
        </w:rPr>
        <w:t xml:space="preserve">。</w:t>
      </w:r>
      <w:r>
        <w:rPr>
          <w:rFonts w:ascii="宋体" w:hAnsi="宋体" w:cs="宋体"/>
          <w:spacing w:val="-3"/>
        </w:rPr>
        <w:t xml:space="preserve">本项目涉及需</w:t>
      </w:r>
      <w:r>
        <w:rPr>
          <w:rFonts w:ascii="宋体" w:hAnsi="宋体" w:cs="宋体"/>
          <w:spacing w:val="-2"/>
        </w:rPr>
        <w:t xml:space="preserve">要使用到的主要监测设备技术要求如下：</w:t>
      </w:r>
      <w:r>
        <w:rPr>
          <w:rFonts w:ascii="宋体" w:hAnsi="宋体" w:cs="宋体"/>
        </w:rPr>
      </w:r>
      <w:r/>
    </w:p>
    <w:p>
      <w:pPr>
        <w:pStyle w:val="1011"/>
        <w:ind w:left="456"/>
        <w:spacing w:before="188" w:line="219" w:lineRule="auto"/>
        <w:rPr>
          <w:rFonts w:ascii="宋体" w:hAnsi="宋体" w:cs="宋体"/>
        </w:rPr>
      </w:pPr>
      <w:r>
        <w:rPr>
          <w:rFonts w:ascii="宋体" w:hAnsi="宋体" w:cs="宋体"/>
          <w:spacing w:val="-2"/>
        </w:rPr>
        <w:t xml:space="preserve">①PH计</w:t>
      </w:r>
      <w:r>
        <w:rPr>
          <w:rFonts w:ascii="宋体" w:hAnsi="宋体" w:cs="宋体"/>
        </w:rPr>
      </w:r>
      <w:r/>
    </w:p>
    <w:p>
      <w:pPr>
        <w:pStyle w:val="1011"/>
        <w:ind w:left="458"/>
        <w:spacing w:before="192" w:line="216" w:lineRule="auto"/>
        <w:rPr>
          <w:rFonts w:ascii="宋体" w:hAnsi="宋体" w:cs="宋体"/>
        </w:rPr>
      </w:pPr>
      <w:r>
        <w:rPr>
          <w:rFonts w:ascii="宋体" w:hAnsi="宋体" w:cs="宋体"/>
          <w:spacing w:val="-1"/>
        </w:rPr>
        <w:t xml:space="preserve">测量范围：ph(0-14);</w:t>
      </w:r>
      <w:r>
        <w:rPr>
          <w:rFonts w:ascii="宋体" w:hAnsi="宋体" w:cs="宋体"/>
        </w:rPr>
      </w:r>
      <w:r/>
    </w:p>
    <w:p>
      <w:pPr>
        <w:pStyle w:val="1011"/>
        <w:ind w:left="458"/>
        <w:spacing w:before="194" w:line="216" w:lineRule="auto"/>
        <w:rPr>
          <w:rFonts w:ascii="宋体" w:hAnsi="宋体" w:cs="宋体"/>
        </w:rPr>
      </w:pPr>
      <w:r>
        <w:rPr>
          <w:rFonts w:ascii="宋体" w:hAnsi="宋体" w:cs="宋体"/>
          <w:spacing w:val="-3"/>
        </w:rPr>
        <w:t xml:space="preserve">测量精度：±0.02ph;</w:t>
      </w:r>
      <w:r>
        <w:rPr>
          <w:rFonts w:ascii="宋体" w:hAnsi="宋体" w:cs="宋体"/>
        </w:rPr>
      </w:r>
      <w:r/>
    </w:p>
    <w:p>
      <w:pPr>
        <w:pStyle w:val="1011"/>
        <w:ind w:left="459"/>
        <w:spacing w:before="194" w:line="216" w:lineRule="auto"/>
        <w:rPr>
          <w:rFonts w:ascii="宋体" w:hAnsi="宋体" w:cs="宋体"/>
        </w:rPr>
      </w:pPr>
      <w:r>
        <w:rPr>
          <w:rFonts w:ascii="宋体" w:hAnsi="宋体" w:cs="宋体"/>
          <w:spacing w:val="-4"/>
        </w:rPr>
        <w:t xml:space="preserve">分辨率：±0.01ph；</w:t>
      </w:r>
      <w:r>
        <w:rPr>
          <w:rFonts w:ascii="宋体" w:hAnsi="宋体" w:cs="宋体"/>
        </w:rPr>
      </w:r>
      <w:r/>
    </w:p>
    <w:p>
      <w:pPr>
        <w:pStyle w:val="1011"/>
        <w:ind w:left="458"/>
        <w:spacing w:before="196" w:line="216" w:lineRule="auto"/>
        <w:rPr>
          <w:rFonts w:ascii="宋体" w:hAnsi="宋体" w:cs="宋体"/>
        </w:rPr>
      </w:pPr>
      <w:r>
        <w:rPr>
          <w:rFonts w:ascii="宋体" w:hAnsi="宋体" w:cs="宋体"/>
          <w:spacing w:val="-2"/>
        </w:rPr>
        <w:t xml:space="preserve">稳定性：≤0.02ph/24h;</w:t>
      </w:r>
      <w:r>
        <w:rPr>
          <w:rFonts w:ascii="宋体" w:hAnsi="宋体" w:cs="宋体"/>
        </w:rPr>
      </w:r>
      <w:r/>
    </w:p>
    <w:p>
      <w:pPr>
        <w:pStyle w:val="1011"/>
        <w:ind w:left="456"/>
        <w:spacing w:before="193" w:line="221" w:lineRule="auto"/>
        <w:rPr>
          <w:rFonts w:ascii="宋体" w:hAnsi="宋体" w:cs="宋体"/>
        </w:rPr>
      </w:pPr>
      <w:r>
        <w:rPr>
          <w:rFonts w:ascii="宋体" w:hAnsi="宋体" w:cs="宋体"/>
          <w:spacing w:val="-4"/>
        </w:rPr>
        <w:t xml:space="preserve">输入阻抗：10~12Ω;</w:t>
      </w:r>
      <w:r>
        <w:rPr>
          <w:rFonts w:ascii="宋体" w:hAnsi="宋体" w:cs="宋体"/>
        </w:rPr>
      </w:r>
      <w:r/>
    </w:p>
    <w:p>
      <w:pPr>
        <w:pStyle w:val="1011"/>
        <w:ind w:left="459"/>
        <w:spacing w:before="188" w:line="222" w:lineRule="auto"/>
        <w:rPr>
          <w:rFonts w:ascii="宋体" w:hAnsi="宋体" w:cs="宋体"/>
        </w:rPr>
      </w:pPr>
      <w:r>
        <w:rPr>
          <w:rFonts w:ascii="宋体" w:hAnsi="宋体" w:cs="宋体"/>
          <w:spacing w:val="-3"/>
        </w:rPr>
        <w:t xml:space="preserve">温度范围：-10~130℃;</w:t>
      </w:r>
      <w:r>
        <w:rPr>
          <w:rFonts w:ascii="宋体" w:hAnsi="宋体" w:cs="宋体"/>
        </w:rPr>
      </w:r>
      <w:r/>
    </w:p>
    <w:p>
      <w:pPr>
        <w:pStyle w:val="1011"/>
        <w:ind w:left="459"/>
        <w:spacing w:before="189" w:line="222" w:lineRule="auto"/>
        <w:rPr>
          <w:rFonts w:ascii="宋体" w:hAnsi="宋体" w:cs="宋体"/>
        </w:rPr>
      </w:pPr>
      <w:r>
        <w:rPr>
          <w:rFonts w:ascii="宋体" w:hAnsi="宋体" w:cs="宋体"/>
          <w:spacing w:val="-3"/>
        </w:rPr>
        <w:t xml:space="preserve">温度补偿：-10~130℃;</w:t>
      </w:r>
      <w:r>
        <w:rPr>
          <w:rFonts w:ascii="宋体" w:hAnsi="宋体" w:cs="宋体"/>
        </w:rPr>
      </w:r>
      <w:r/>
    </w:p>
    <w:p>
      <w:pPr>
        <w:pStyle w:val="1011"/>
        <w:ind w:left="457"/>
        <w:spacing w:before="187" w:line="222" w:lineRule="auto"/>
        <w:rPr>
          <w:rFonts w:ascii="宋体" w:hAnsi="宋体" w:cs="宋体"/>
        </w:rPr>
      </w:pPr>
      <w:r>
        <w:rPr>
          <w:rFonts w:ascii="宋体" w:hAnsi="宋体" w:cs="宋体"/>
          <w:spacing w:val="-2"/>
        </w:rPr>
        <w:t xml:space="preserve">通讯功能：485通讯；标准Modbus-Rtu协议；</w:t>
      </w:r>
      <w:r>
        <w:rPr>
          <w:rFonts w:ascii="宋体" w:hAnsi="宋体" w:cs="宋体"/>
        </w:rPr>
      </w:r>
      <w:r/>
    </w:p>
    <w:p>
      <w:pPr>
        <w:pStyle w:val="1011"/>
        <w:spacing w:line="222" w:lineRule="auto"/>
        <w:rPr>
          <w:rFonts w:ascii="宋体" w:hAnsi="宋体" w:cs="宋体"/>
        </w:rPr>
        <w:sectPr>
          <w:headerReference w:type="default" r:id="rId21"/>
          <w:footerReference w:type="default" r:id="rId29"/>
          <w:footnotePr/>
          <w:endnotePr/>
          <w:type w:val="nextPage"/>
          <w:pgSz w:w="11907" w:h="16839" w:orient="portrait"/>
          <w:pgMar w:top="921" w:right="1060" w:bottom="676" w:left="1104" w:header="601" w:footer="511" w:gutter="0"/>
          <w:cols w:num="1" w:sep="0" w:space="720" w:equalWidth="1"/>
          <w:docGrid w:linePitch="360"/>
        </w:sectPr>
      </w:pPr>
      <w:r>
        <w:rPr>
          <w:rFonts w:ascii="宋体" w:hAnsi="宋体" w:cs="宋体"/>
        </w:rPr>
      </w:r>
      <w:r/>
    </w:p>
    <w:p>
      <w:pPr>
        <w:pStyle w:val="1011"/>
        <w:ind w:left="457"/>
        <w:spacing w:before="157" w:line="221" w:lineRule="auto"/>
        <w:rPr>
          <w:rFonts w:ascii="宋体" w:hAnsi="宋体" w:cs="宋体"/>
        </w:rPr>
      </w:pPr>
      <w:r>
        <w:rPr>
          <w:rFonts w:ascii="宋体" w:hAnsi="宋体" w:cs="宋体"/>
          <w:spacing w:val="-3"/>
        </w:rPr>
        <w:t xml:space="preserve">变送输出：隔离变送4~20mA，最大负载750Ω;</w:t>
      </w:r>
      <w:r>
        <w:rPr>
          <w:rFonts w:ascii="宋体" w:hAnsi="宋体" w:cs="宋体"/>
        </w:rPr>
      </w:r>
      <w:r/>
    </w:p>
    <w:p>
      <w:pPr>
        <w:pStyle w:val="1011"/>
        <w:ind w:left="457"/>
        <w:spacing w:before="187" w:line="221" w:lineRule="auto"/>
        <w:rPr>
          <w:rFonts w:ascii="宋体" w:hAnsi="宋体" w:cs="宋体"/>
        </w:rPr>
      </w:pPr>
      <w:r>
        <w:rPr>
          <w:rFonts w:ascii="宋体" w:hAnsi="宋体" w:cs="宋体"/>
        </w:rPr>
        <w:t xml:space="preserve">供电电源：AC 220V±10%，50HZ</w:t>
      </w:r>
      <w:r>
        <w:rPr>
          <w:rFonts w:ascii="宋体" w:hAnsi="宋体" w:cs="宋体"/>
          <w:spacing w:val="-1"/>
        </w:rPr>
        <w:t xml:space="preserve">/60HZ;</w:t>
      </w:r>
      <w:r>
        <w:rPr>
          <w:rFonts w:ascii="宋体" w:hAnsi="宋体" w:cs="宋体"/>
        </w:rPr>
      </w:r>
      <w:r/>
    </w:p>
    <w:p>
      <w:pPr>
        <w:pStyle w:val="1011"/>
        <w:ind w:left="455" w:right="4780"/>
        <w:spacing w:before="190" w:line="311" w:lineRule="auto"/>
        <w:rPr>
          <w:rFonts w:ascii="宋体" w:hAnsi="宋体" w:cs="宋体"/>
        </w:rPr>
      </w:pPr>
      <w:r>
        <w:rPr>
          <w:rFonts w:ascii="宋体" w:hAnsi="宋体" w:cs="宋体"/>
        </w:rPr>
        <w:t xml:space="preserve">报警功能：两路常开常闭报警继电器AC2</w:t>
      </w:r>
      <w:r>
        <w:rPr>
          <w:rFonts w:ascii="宋体" w:hAnsi="宋体" w:cs="宋体"/>
          <w:spacing w:val="-1"/>
        </w:rPr>
        <w:t xml:space="preserve">20V、3A②化学需氧量（COD）水质在线分析仪</w:t>
      </w:r>
      <w:r>
        <w:rPr>
          <w:rFonts w:ascii="宋体" w:hAnsi="宋体" w:cs="宋体"/>
        </w:rPr>
      </w:r>
      <w:r/>
    </w:p>
    <w:tbl>
      <w:tblPr>
        <w:tblW w:w="8827" w:type="dxa"/>
        <w:tblInd w:w="43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55"/>
        <w:gridCol w:w="6272"/>
      </w:tblGrid>
      <w:tr>
        <w:trPr>
          <w:trHeight w:val="420"/>
        </w:trPr>
        <w:tc>
          <w:tcPr>
            <w:gridSpan w:val="2"/>
            <w:tcW w:w="8827" w:type="dxa"/>
            <w:vAlign w:val="top"/>
            <w:textDirection w:val="lrTb"/>
            <w:noWrap w:val="false"/>
          </w:tcPr>
          <w:p>
            <w:pPr>
              <w:pStyle w:val="1198"/>
              <w:ind w:left="114"/>
              <w:spacing w:before="35" w:line="221" w:lineRule="auto"/>
              <w:rPr>
                <w:lang w:eastAsia="en-US"/>
              </w:rPr>
            </w:pPr>
            <w:r>
              <w:rPr>
                <w:spacing w:val="-4"/>
                <w:lang w:eastAsia="en-US"/>
              </w:rPr>
              <w:t xml:space="preserve">COD性能参数</w:t>
            </w:r>
            <w:r>
              <w:rPr>
                <w:lang w:eastAsia="en-US"/>
              </w:rPr>
            </w:r>
            <w:r/>
          </w:p>
        </w:tc>
      </w:tr>
      <w:tr>
        <w:trPr>
          <w:trHeight w:val="412"/>
        </w:trPr>
        <w:tc>
          <w:tcPr>
            <w:tcW w:w="2555" w:type="dxa"/>
            <w:vAlign w:val="top"/>
            <w:textDirection w:val="lrTb"/>
            <w:noWrap w:val="false"/>
          </w:tcPr>
          <w:p>
            <w:pPr>
              <w:pStyle w:val="1198"/>
              <w:ind w:left="116"/>
              <w:spacing w:before="29" w:line="223" w:lineRule="auto"/>
              <w:rPr>
                <w:lang w:eastAsia="en-US"/>
              </w:rPr>
            </w:pPr>
            <w:r>
              <w:rPr>
                <w:spacing w:val="-4"/>
                <w:lang w:eastAsia="en-US"/>
              </w:rPr>
              <w:t xml:space="preserve">测量方法</w:t>
            </w:r>
            <w:r>
              <w:rPr>
                <w:lang w:eastAsia="en-US"/>
              </w:rPr>
            </w:r>
            <w:r/>
          </w:p>
        </w:tc>
        <w:tc>
          <w:tcPr>
            <w:tcW w:w="6272" w:type="dxa"/>
            <w:vAlign w:val="top"/>
            <w:textDirection w:val="lrTb"/>
            <w:noWrap w:val="false"/>
          </w:tcPr>
          <w:p>
            <w:pPr>
              <w:pStyle w:val="1198"/>
              <w:ind w:left="112"/>
              <w:spacing w:before="28" w:line="221" w:lineRule="auto"/>
            </w:pPr>
            <w:r>
              <w:rPr>
                <w:spacing w:val="-3"/>
              </w:rPr>
              <w:t xml:space="preserve">基于GB11914 89标准 水质-化</w:t>
            </w:r>
            <w:r>
              <w:rPr>
                <w:spacing w:val="-4"/>
              </w:rPr>
              <w:t xml:space="preserve">学需氧量的测定-重铬酸盐法</w:t>
            </w:r>
            <w:r/>
          </w:p>
        </w:tc>
      </w:tr>
      <w:tr>
        <w:trPr>
          <w:trHeight w:val="823"/>
        </w:trPr>
        <w:tc>
          <w:tcPr>
            <w:tcW w:w="2555" w:type="dxa"/>
            <w:vAlign w:val="top"/>
            <w:textDirection w:val="lrTb"/>
            <w:noWrap w:val="false"/>
          </w:tcPr>
          <w:p>
            <w:pPr>
              <w:pStyle w:val="1198"/>
              <w:ind w:left="116"/>
              <w:spacing w:before="30" w:line="222" w:lineRule="auto"/>
              <w:rPr>
                <w:lang w:eastAsia="en-US"/>
              </w:rPr>
            </w:pPr>
            <w:r>
              <w:rPr>
                <w:spacing w:val="-4"/>
                <w:lang w:eastAsia="en-US"/>
              </w:rPr>
              <w:t xml:space="preserve">量程范围</w:t>
            </w:r>
            <w:r>
              <w:rPr>
                <w:lang w:eastAsia="en-US"/>
              </w:rPr>
            </w:r>
            <w:r/>
          </w:p>
        </w:tc>
        <w:tc>
          <w:tcPr>
            <w:tcW w:w="6272" w:type="dxa"/>
            <w:vAlign w:val="top"/>
            <w:textDirection w:val="lrTb"/>
            <w:noWrap w:val="false"/>
          </w:tcPr>
          <w:p>
            <w:pPr>
              <w:pStyle w:val="1198"/>
              <w:ind w:left="112" w:right="3988"/>
              <w:spacing w:before="30" w:line="344" w:lineRule="auto"/>
              <w:rPr>
                <w:lang w:eastAsia="en-US"/>
              </w:rPr>
            </w:pPr>
            <w:r>
              <w:rPr>
                <w:spacing w:val="-8"/>
                <w:lang w:eastAsia="en-US"/>
              </w:rPr>
              <w:t xml:space="preserve">基本量程10～200mg/L；</w:t>
            </w:r>
            <w:r>
              <w:rPr>
                <w:spacing w:val="-3"/>
                <w:lang w:eastAsia="en-US"/>
              </w:rPr>
              <w:t xml:space="preserve">扩展量程800/8000mg/L</w:t>
            </w:r>
            <w:r>
              <w:rPr>
                <w:lang w:eastAsia="en-US"/>
              </w:rPr>
            </w:r>
            <w:r/>
          </w:p>
        </w:tc>
      </w:tr>
      <w:tr>
        <w:trPr>
          <w:trHeight w:val="412"/>
        </w:trPr>
        <w:tc>
          <w:tcPr>
            <w:tcW w:w="2555" w:type="dxa"/>
            <w:vAlign w:val="top"/>
            <w:textDirection w:val="lrTb"/>
            <w:noWrap w:val="false"/>
          </w:tcPr>
          <w:p>
            <w:pPr>
              <w:pStyle w:val="1198"/>
              <w:ind w:left="116"/>
              <w:spacing w:before="30" w:line="222" w:lineRule="auto"/>
              <w:rPr>
                <w:lang w:eastAsia="en-US"/>
              </w:rPr>
            </w:pPr>
            <w:r>
              <w:rPr>
                <w:spacing w:val="-4"/>
                <w:lang w:eastAsia="en-US"/>
              </w:rPr>
              <w:t xml:space="preserve">重复性</w:t>
            </w:r>
            <w:r>
              <w:rPr>
                <w:lang w:eastAsia="en-US"/>
              </w:rPr>
            </w:r>
            <w:r/>
          </w:p>
        </w:tc>
        <w:tc>
          <w:tcPr>
            <w:tcW w:w="6272" w:type="dxa"/>
            <w:vAlign w:val="top"/>
            <w:textDirection w:val="lrTb"/>
            <w:noWrap w:val="false"/>
          </w:tcPr>
          <w:p>
            <w:pPr>
              <w:pStyle w:val="1198"/>
              <w:ind w:left="127"/>
              <w:spacing w:before="29" w:line="238" w:lineRule="auto"/>
              <w:rPr>
                <w:lang w:eastAsia="en-US"/>
              </w:rPr>
            </w:pPr>
            <w:r>
              <w:rPr>
                <w:spacing w:val="-9"/>
                <w:lang w:eastAsia="en-US"/>
              </w:rPr>
              <w:t xml:space="preserve">≤5%</w:t>
            </w:r>
            <w:r>
              <w:rPr>
                <w:lang w:eastAsia="en-US"/>
              </w:rPr>
            </w:r>
            <w:r/>
          </w:p>
        </w:tc>
      </w:tr>
      <w:tr>
        <w:trPr>
          <w:trHeight w:val="823"/>
        </w:trPr>
        <w:tc>
          <w:tcPr>
            <w:tcW w:w="2555" w:type="dxa"/>
            <w:vAlign w:val="top"/>
            <w:textDirection w:val="lrTb"/>
            <w:noWrap w:val="false"/>
          </w:tcPr>
          <w:p>
            <w:pPr>
              <w:pStyle w:val="1198"/>
              <w:ind w:left="116"/>
              <w:spacing w:before="30" w:line="221" w:lineRule="auto"/>
              <w:rPr>
                <w:lang w:eastAsia="en-US"/>
              </w:rPr>
            </w:pPr>
            <w:r>
              <w:rPr>
                <w:spacing w:val="-4"/>
                <w:lang w:eastAsia="en-US"/>
              </w:rPr>
              <w:t xml:space="preserve">示值误差</w:t>
            </w:r>
            <w:r>
              <w:rPr>
                <w:lang w:eastAsia="en-US"/>
              </w:rPr>
            </w:r>
            <w:r/>
          </w:p>
        </w:tc>
        <w:tc>
          <w:tcPr>
            <w:tcW w:w="6272" w:type="dxa"/>
            <w:vAlign w:val="top"/>
            <w:textDirection w:val="lrTb"/>
            <w:noWrap w:val="false"/>
          </w:tcPr>
          <w:p>
            <w:pPr>
              <w:pStyle w:val="1198"/>
              <w:ind w:left="112" w:right="3423"/>
              <w:spacing w:before="30" w:line="344" w:lineRule="auto"/>
            </w:pPr>
            <w:r>
              <w:rPr>
                <w:spacing w:val="-7"/>
              </w:rPr>
              <w:t xml:space="preserve">基本量程范围内不超过±10%；</w:t>
            </w:r>
            <w:r>
              <w:rPr>
                <w:spacing w:val="-4"/>
              </w:rPr>
              <w:t xml:space="preserve">扩展量程范围内不超过±3%</w:t>
            </w:r>
            <w:r/>
          </w:p>
        </w:tc>
      </w:tr>
      <w:tr>
        <w:trPr>
          <w:trHeight w:val="412"/>
        </w:trPr>
        <w:tc>
          <w:tcPr>
            <w:tcW w:w="2555" w:type="dxa"/>
            <w:vAlign w:val="top"/>
            <w:textDirection w:val="lrTb"/>
            <w:noWrap w:val="false"/>
          </w:tcPr>
          <w:p>
            <w:pPr>
              <w:pStyle w:val="1198"/>
              <w:ind w:left="118"/>
              <w:spacing w:before="30" w:line="221" w:lineRule="auto"/>
              <w:rPr>
                <w:lang w:eastAsia="en-US"/>
              </w:rPr>
            </w:pPr>
            <w:r>
              <w:rPr>
                <w:spacing w:val="-4"/>
                <w:lang w:eastAsia="en-US"/>
              </w:rPr>
              <w:t xml:space="preserve">最小维护周期</w:t>
            </w:r>
            <w:r>
              <w:rPr>
                <w:lang w:eastAsia="en-US"/>
              </w:rPr>
            </w:r>
            <w:r/>
          </w:p>
        </w:tc>
        <w:tc>
          <w:tcPr>
            <w:tcW w:w="6272" w:type="dxa"/>
            <w:vAlign w:val="top"/>
            <w:textDirection w:val="lrTb"/>
            <w:noWrap w:val="false"/>
          </w:tcPr>
          <w:p>
            <w:pPr>
              <w:pStyle w:val="1198"/>
              <w:ind w:left="132"/>
              <w:spacing w:before="30" w:line="221" w:lineRule="auto"/>
              <w:rPr>
                <w:lang w:eastAsia="en-US"/>
              </w:rPr>
            </w:pPr>
            <w:r>
              <w:rPr>
                <w:spacing w:val="-6"/>
                <w:lang w:eastAsia="en-US"/>
              </w:rPr>
              <w:t xml:space="preserve">≥168 h/次</w:t>
            </w:r>
            <w:r>
              <w:rPr>
                <w:lang w:eastAsia="en-US"/>
              </w:rPr>
            </w:r>
            <w:r/>
          </w:p>
        </w:tc>
      </w:tr>
      <w:tr>
        <w:trPr>
          <w:trHeight w:val="412"/>
        </w:trPr>
        <w:tc>
          <w:tcPr>
            <w:tcW w:w="2555" w:type="dxa"/>
            <w:vAlign w:val="top"/>
            <w:textDirection w:val="lrTb"/>
            <w:noWrap w:val="false"/>
          </w:tcPr>
          <w:p>
            <w:pPr>
              <w:pStyle w:val="1198"/>
              <w:ind w:left="116"/>
              <w:spacing w:before="31" w:line="221" w:lineRule="auto"/>
              <w:rPr>
                <w:lang w:eastAsia="en-US"/>
              </w:rPr>
            </w:pPr>
            <w:r>
              <w:rPr>
                <w:spacing w:val="-4"/>
                <w:lang w:eastAsia="en-US"/>
              </w:rPr>
              <w:t xml:space="preserve">零点漂移</w:t>
            </w:r>
            <w:r>
              <w:rPr>
                <w:lang w:eastAsia="en-US"/>
              </w:rPr>
            </w:r>
            <w:r/>
          </w:p>
        </w:tc>
        <w:tc>
          <w:tcPr>
            <w:tcW w:w="6272" w:type="dxa"/>
            <w:vAlign w:val="top"/>
            <w:textDirection w:val="lrTb"/>
            <w:noWrap w:val="false"/>
          </w:tcPr>
          <w:p>
            <w:pPr>
              <w:pStyle w:val="1198"/>
              <w:ind w:left="137"/>
              <w:spacing w:before="30" w:line="216" w:lineRule="auto"/>
              <w:rPr>
                <w:lang w:eastAsia="en-US"/>
              </w:rPr>
            </w:pPr>
            <w:r>
              <w:rPr>
                <w:spacing w:val="-7"/>
                <w:lang w:eastAsia="en-US"/>
              </w:rPr>
              <w:t xml:space="preserve">±5mg/L</w:t>
            </w:r>
            <w:r>
              <w:rPr>
                <w:lang w:eastAsia="en-US"/>
              </w:rPr>
            </w:r>
            <w:r/>
          </w:p>
        </w:tc>
      </w:tr>
      <w:tr>
        <w:trPr>
          <w:trHeight w:val="822"/>
        </w:trPr>
        <w:tc>
          <w:tcPr>
            <w:tcW w:w="2555" w:type="dxa"/>
            <w:vAlign w:val="top"/>
            <w:textDirection w:val="lrTb"/>
            <w:noWrap w:val="false"/>
          </w:tcPr>
          <w:p>
            <w:pPr>
              <w:pStyle w:val="1198"/>
              <w:ind w:left="116"/>
              <w:spacing w:before="34" w:line="221" w:lineRule="auto"/>
              <w:rPr>
                <w:lang w:eastAsia="en-US"/>
              </w:rPr>
            </w:pPr>
            <w:r>
              <w:rPr>
                <w:spacing w:val="-4"/>
                <w:lang w:eastAsia="en-US"/>
              </w:rPr>
              <w:t xml:space="preserve">量程漂移</w:t>
            </w:r>
            <w:r>
              <w:rPr>
                <w:lang w:eastAsia="en-US"/>
              </w:rPr>
            </w:r>
            <w:r/>
          </w:p>
        </w:tc>
        <w:tc>
          <w:tcPr>
            <w:tcW w:w="6272" w:type="dxa"/>
            <w:vAlign w:val="top"/>
            <w:textDirection w:val="lrTb"/>
            <w:noWrap w:val="false"/>
          </w:tcPr>
          <w:p>
            <w:pPr>
              <w:pStyle w:val="1198"/>
              <w:ind w:left="112" w:right="3526"/>
              <w:spacing w:before="33" w:line="342" w:lineRule="auto"/>
            </w:pPr>
            <w:r>
              <w:rPr>
                <w:spacing w:val="-8"/>
              </w:rPr>
              <w:t xml:space="preserve">基本量程范围内，±10mg/L；</w:t>
            </w:r>
            <w:r>
              <w:rPr>
                <w:spacing w:val="-6"/>
              </w:rPr>
              <w:t xml:space="preserve">扩展量程范围内，±10%</w:t>
            </w:r>
            <w:r/>
          </w:p>
        </w:tc>
      </w:tr>
      <w:tr>
        <w:trPr>
          <w:trHeight w:val="823"/>
        </w:trPr>
        <w:tc>
          <w:tcPr>
            <w:tcW w:w="2555" w:type="dxa"/>
            <w:vAlign w:val="top"/>
            <w:textDirection w:val="lrTb"/>
            <w:noWrap w:val="false"/>
          </w:tcPr>
          <w:p>
            <w:pPr>
              <w:pStyle w:val="1198"/>
              <w:ind w:left="121"/>
              <w:spacing w:before="33" w:line="221" w:lineRule="auto"/>
            </w:pPr>
            <w:r>
              <w:rPr>
                <w:spacing w:val="-5"/>
              </w:rPr>
              <w:t xml:space="preserve">实际废水样品比对实验</w:t>
            </w:r>
            <w:r/>
          </w:p>
        </w:tc>
        <w:tc>
          <w:tcPr>
            <w:tcW w:w="6272" w:type="dxa"/>
            <w:vAlign w:val="top"/>
            <w:textDirection w:val="lrTb"/>
            <w:noWrap w:val="false"/>
          </w:tcPr>
          <w:p>
            <w:pPr>
              <w:pStyle w:val="1198"/>
              <w:ind w:left="110" w:right="3839"/>
              <w:spacing w:before="32" w:line="343" w:lineRule="auto"/>
              <w:rPr>
                <w:lang w:eastAsia="en-US"/>
              </w:rPr>
            </w:pPr>
            <w:r>
              <w:rPr>
                <w:spacing w:val="-4"/>
                <w:lang w:eastAsia="en-US"/>
              </w:rPr>
              <w:t xml:space="preserve">COD＜50mg/L时，≤5mg/LCOD≥50mg/L时，≤10%</w:t>
            </w:r>
            <w:r>
              <w:rPr>
                <w:lang w:eastAsia="en-US"/>
              </w:rPr>
            </w:r>
            <w:r/>
          </w:p>
        </w:tc>
      </w:tr>
      <w:tr>
        <w:trPr>
          <w:trHeight w:val="412"/>
        </w:trPr>
        <w:tc>
          <w:tcPr>
            <w:tcW w:w="2555" w:type="dxa"/>
            <w:vAlign w:val="top"/>
            <w:textDirection w:val="lrTb"/>
            <w:noWrap w:val="false"/>
          </w:tcPr>
          <w:p>
            <w:pPr>
              <w:pStyle w:val="1198"/>
              <w:ind w:left="116"/>
              <w:spacing w:before="32" w:line="222" w:lineRule="auto"/>
              <w:rPr>
                <w:lang w:eastAsia="en-US"/>
              </w:rPr>
            </w:pPr>
            <w:r>
              <w:rPr>
                <w:spacing w:val="-3"/>
                <w:lang w:eastAsia="en-US"/>
              </w:rPr>
              <w:t xml:space="preserve">校准</w:t>
            </w:r>
            <w:r>
              <w:rPr>
                <w:lang w:eastAsia="en-US"/>
              </w:rPr>
            </w:r>
            <w:r/>
          </w:p>
        </w:tc>
        <w:tc>
          <w:tcPr>
            <w:tcW w:w="6272" w:type="dxa"/>
            <w:vAlign w:val="top"/>
            <w:textDirection w:val="lrTb"/>
            <w:noWrap w:val="false"/>
          </w:tcPr>
          <w:p>
            <w:pPr>
              <w:pStyle w:val="1198"/>
              <w:ind w:left="112"/>
              <w:spacing w:before="32" w:line="222" w:lineRule="auto"/>
              <w:rPr>
                <w:lang w:eastAsia="en-US"/>
              </w:rPr>
            </w:pPr>
            <w:r>
              <w:rPr>
                <w:spacing w:val="-4"/>
                <w:lang w:eastAsia="en-US"/>
              </w:rPr>
              <w:t xml:space="preserve">手动校准和自动校准</w:t>
            </w:r>
            <w:r>
              <w:rPr>
                <w:lang w:eastAsia="en-US"/>
              </w:rPr>
            </w:r>
            <w:r/>
          </w:p>
        </w:tc>
      </w:tr>
      <w:tr>
        <w:trPr>
          <w:trHeight w:val="412"/>
        </w:trPr>
        <w:tc>
          <w:tcPr>
            <w:gridSpan w:val="2"/>
            <w:tcW w:w="8827" w:type="dxa"/>
            <w:vAlign w:val="top"/>
            <w:textDirection w:val="lrTb"/>
            <w:noWrap w:val="false"/>
          </w:tcPr>
          <w:p>
            <w:pPr>
              <w:pStyle w:val="1198"/>
              <w:ind w:left="116"/>
              <w:spacing w:before="33" w:line="221" w:lineRule="auto"/>
              <w:rPr>
                <w:lang w:eastAsia="en-US"/>
              </w:rPr>
            </w:pPr>
            <w:r>
              <w:rPr>
                <w:spacing w:val="-4"/>
                <w:lang w:eastAsia="en-US"/>
              </w:rPr>
              <w:t xml:space="preserve">物理参数和环境参数</w:t>
            </w:r>
            <w:r>
              <w:rPr>
                <w:lang w:eastAsia="en-US"/>
              </w:rPr>
            </w:r>
            <w:r/>
          </w:p>
        </w:tc>
      </w:tr>
      <w:tr>
        <w:trPr>
          <w:trHeight w:val="823"/>
        </w:trPr>
        <w:tc>
          <w:tcPr>
            <w:tcW w:w="2555" w:type="dxa"/>
            <w:vAlign w:val="top"/>
            <w:textDirection w:val="lrTb"/>
            <w:noWrap w:val="false"/>
          </w:tcPr>
          <w:p>
            <w:pPr>
              <w:pStyle w:val="1198"/>
              <w:ind w:left="115"/>
              <w:spacing w:before="33" w:line="221" w:lineRule="auto"/>
              <w:rPr>
                <w:lang w:eastAsia="en-US"/>
              </w:rPr>
            </w:pPr>
            <w:r>
              <w:rPr>
                <w:spacing w:val="-6"/>
                <w:lang w:eastAsia="en-US"/>
              </w:rPr>
              <w:t xml:space="preserve">尺寸（约为）</w:t>
            </w:r>
            <w:r>
              <w:rPr>
                <w:lang w:eastAsia="en-US"/>
              </w:rPr>
            </w:r>
            <w:r/>
          </w:p>
        </w:tc>
        <w:tc>
          <w:tcPr>
            <w:tcW w:w="6272" w:type="dxa"/>
            <w:vAlign w:val="top"/>
            <w:textDirection w:val="lrTb"/>
            <w:noWrap w:val="false"/>
          </w:tcPr>
          <w:p>
            <w:pPr>
              <w:pStyle w:val="1198"/>
              <w:ind w:left="112"/>
              <w:spacing w:before="34" w:line="221" w:lineRule="auto"/>
            </w:pPr>
            <w:r>
              <w:rPr>
                <w:spacing w:val="-4"/>
              </w:rPr>
              <w:t xml:space="preserve">仪表：宽350mm×高400mm×深320mm</w:t>
            </w:r>
            <w:r/>
          </w:p>
          <w:p>
            <w:pPr>
              <w:pStyle w:val="1198"/>
              <w:ind w:left="112"/>
              <w:spacing w:before="158" w:line="221" w:lineRule="auto"/>
            </w:pPr>
            <w:r>
              <w:rPr>
                <w:spacing w:val="-4"/>
              </w:rPr>
              <w:t xml:space="preserve">试剂仓：宽350mm×高380mm×深320mm</w:t>
            </w:r>
            <w:r/>
          </w:p>
        </w:tc>
      </w:tr>
      <w:tr>
        <w:trPr>
          <w:trHeight w:val="412"/>
        </w:trPr>
        <w:tc>
          <w:tcPr>
            <w:tcW w:w="2555" w:type="dxa"/>
            <w:vAlign w:val="top"/>
            <w:textDirection w:val="lrTb"/>
            <w:noWrap w:val="false"/>
          </w:tcPr>
          <w:p>
            <w:pPr>
              <w:pStyle w:val="1198"/>
              <w:ind w:left="116"/>
              <w:spacing w:before="34" w:line="222" w:lineRule="auto"/>
              <w:rPr>
                <w:lang w:eastAsia="en-US"/>
              </w:rPr>
            </w:pPr>
            <w:r>
              <w:rPr>
                <w:spacing w:val="-4"/>
                <w:lang w:eastAsia="en-US"/>
              </w:rPr>
              <w:t xml:space="preserve">环境温度</w:t>
            </w:r>
            <w:r>
              <w:rPr>
                <w:lang w:eastAsia="en-US"/>
              </w:rPr>
            </w:r>
            <w:r/>
          </w:p>
        </w:tc>
        <w:tc>
          <w:tcPr>
            <w:tcW w:w="6272" w:type="dxa"/>
            <w:vAlign w:val="top"/>
            <w:textDirection w:val="lrTb"/>
            <w:noWrap w:val="false"/>
          </w:tcPr>
          <w:p>
            <w:pPr>
              <w:pStyle w:val="1198"/>
              <w:ind w:left="113"/>
              <w:spacing w:before="34" w:line="239" w:lineRule="auto"/>
              <w:rPr>
                <w:lang w:eastAsia="en-US"/>
              </w:rPr>
            </w:pPr>
            <w:r>
              <w:rPr>
                <w:spacing w:val="12"/>
                <w:lang w:eastAsia="en-US"/>
              </w:rPr>
              <w:t xml:space="preserve">+5℃~40℃</w:t>
            </w:r>
            <w:r>
              <w:rPr>
                <w:lang w:eastAsia="en-US"/>
              </w:rPr>
            </w:r>
            <w:r/>
          </w:p>
        </w:tc>
      </w:tr>
      <w:tr>
        <w:trPr>
          <w:trHeight w:val="415"/>
        </w:trPr>
        <w:tc>
          <w:tcPr>
            <w:tcW w:w="2555" w:type="dxa"/>
            <w:vAlign w:val="top"/>
            <w:textDirection w:val="lrTb"/>
            <w:noWrap w:val="false"/>
          </w:tcPr>
          <w:p>
            <w:pPr>
              <w:pStyle w:val="1198"/>
              <w:ind w:left="116"/>
              <w:spacing w:before="34" w:line="222" w:lineRule="auto"/>
              <w:rPr>
                <w:lang w:eastAsia="en-US"/>
              </w:rPr>
            </w:pPr>
            <w:r>
              <w:rPr>
                <w:spacing w:val="-3"/>
                <w:lang w:eastAsia="en-US"/>
              </w:rPr>
              <w:t xml:space="preserve">湿度</w:t>
            </w:r>
            <w:r>
              <w:rPr>
                <w:lang w:eastAsia="en-US"/>
              </w:rPr>
            </w:r>
            <w:r/>
          </w:p>
        </w:tc>
        <w:tc>
          <w:tcPr>
            <w:tcW w:w="6272" w:type="dxa"/>
            <w:vAlign w:val="top"/>
            <w:textDirection w:val="lrTb"/>
            <w:noWrap w:val="false"/>
          </w:tcPr>
          <w:p>
            <w:pPr>
              <w:pStyle w:val="1198"/>
              <w:ind w:left="118"/>
              <w:spacing w:before="34" w:line="222" w:lineRule="auto"/>
              <w:rPr>
                <w:lang w:eastAsia="en-US"/>
              </w:rPr>
            </w:pPr>
            <w:r>
              <w:rPr>
                <w:spacing w:val="-5"/>
                <w:lang w:eastAsia="en-US"/>
              </w:rPr>
              <w:t xml:space="preserve">（65±20）%（不结露）</w:t>
            </w:r>
            <w:r>
              <w:rPr>
                <w:lang w:eastAsia="en-US"/>
              </w:rPr>
            </w:r>
            <w:r/>
          </w:p>
        </w:tc>
      </w:tr>
      <w:tr>
        <w:trPr>
          <w:trHeight w:val="412"/>
        </w:trPr>
        <w:tc>
          <w:tcPr>
            <w:gridSpan w:val="2"/>
            <w:tcW w:w="8827" w:type="dxa"/>
            <w:vAlign w:val="top"/>
            <w:textDirection w:val="lrTb"/>
            <w:noWrap w:val="false"/>
          </w:tcPr>
          <w:p>
            <w:pPr>
              <w:pStyle w:val="1198"/>
              <w:ind w:left="116"/>
              <w:spacing w:before="34" w:line="221" w:lineRule="auto"/>
              <w:rPr>
                <w:lang w:eastAsia="en-US"/>
              </w:rPr>
            </w:pPr>
            <w:r>
              <w:rPr>
                <w:spacing w:val="-4"/>
                <w:lang w:eastAsia="en-US"/>
              </w:rPr>
              <w:t xml:space="preserve">其他技术参数</w:t>
            </w:r>
            <w:r>
              <w:rPr>
                <w:lang w:eastAsia="en-US"/>
              </w:rPr>
            </w:r>
            <w:r/>
          </w:p>
        </w:tc>
      </w:tr>
      <w:tr>
        <w:trPr>
          <w:trHeight w:val="412"/>
        </w:trPr>
        <w:tc>
          <w:tcPr>
            <w:tcW w:w="2555" w:type="dxa"/>
            <w:vAlign w:val="top"/>
            <w:textDirection w:val="lrTb"/>
            <w:noWrap w:val="false"/>
          </w:tcPr>
          <w:p>
            <w:pPr>
              <w:pStyle w:val="1198"/>
              <w:ind w:left="140"/>
              <w:spacing w:before="34" w:line="223" w:lineRule="auto"/>
              <w:rPr>
                <w:lang w:eastAsia="en-US"/>
              </w:rPr>
            </w:pPr>
            <w:r>
              <w:rPr>
                <w:spacing w:val="-9"/>
                <w:lang w:eastAsia="en-US"/>
              </w:rPr>
              <w:t xml:space="preserve">电源要求</w:t>
            </w:r>
            <w:r>
              <w:rPr>
                <w:lang w:eastAsia="en-US"/>
              </w:rPr>
            </w:r>
            <w:r/>
          </w:p>
        </w:tc>
        <w:tc>
          <w:tcPr>
            <w:tcW w:w="6272" w:type="dxa"/>
            <w:vAlign w:val="top"/>
            <w:textDirection w:val="lrTb"/>
            <w:noWrap w:val="false"/>
          </w:tcPr>
          <w:p>
            <w:pPr>
              <w:pStyle w:val="1198"/>
              <w:ind w:left="105"/>
              <w:spacing w:before="35" w:line="224" w:lineRule="auto"/>
              <w:rPr>
                <w:lang w:eastAsia="en-US"/>
              </w:rPr>
            </w:pPr>
            <w:r>
              <w:rPr>
                <w:spacing w:val="-2"/>
                <w:lang w:eastAsia="en-US"/>
              </w:rPr>
              <w:t xml:space="preserve">AC(220±22)V/(50±0.5)Hz</w:t>
            </w:r>
            <w:r>
              <w:rPr>
                <w:lang w:eastAsia="en-US"/>
              </w:rPr>
            </w:r>
            <w:r/>
          </w:p>
        </w:tc>
      </w:tr>
      <w:tr>
        <w:trPr>
          <w:trHeight w:val="420"/>
        </w:trPr>
        <w:tc>
          <w:tcPr>
            <w:tcW w:w="2555" w:type="dxa"/>
            <w:vAlign w:val="top"/>
            <w:textDirection w:val="lrTb"/>
            <w:noWrap w:val="false"/>
          </w:tcPr>
          <w:p>
            <w:pPr>
              <w:pStyle w:val="1198"/>
              <w:ind w:left="115"/>
              <w:spacing w:before="37" w:line="221" w:lineRule="auto"/>
              <w:rPr>
                <w:lang w:eastAsia="en-US"/>
              </w:rPr>
            </w:pPr>
            <w:r>
              <w:rPr>
                <w:spacing w:val="-4"/>
                <w:lang w:eastAsia="en-US"/>
              </w:rPr>
              <w:t xml:space="preserve">模拟输出及通讯</w:t>
            </w:r>
            <w:r>
              <w:rPr>
                <w:lang w:eastAsia="en-US"/>
              </w:rPr>
            </w:r>
            <w:r/>
          </w:p>
        </w:tc>
        <w:tc>
          <w:tcPr>
            <w:tcW w:w="6272" w:type="dxa"/>
            <w:vAlign w:val="top"/>
            <w:textDirection w:val="lrTb"/>
            <w:noWrap w:val="false"/>
          </w:tcPr>
          <w:p>
            <w:pPr>
              <w:pStyle w:val="1198"/>
              <w:ind w:left="111"/>
              <w:spacing w:before="38" w:line="226" w:lineRule="auto"/>
              <w:rPr>
                <w:lang w:eastAsia="en-US"/>
              </w:rPr>
            </w:pPr>
            <w:r>
              <w:rPr>
                <w:spacing w:val="-3"/>
                <w:lang w:eastAsia="en-US"/>
              </w:rPr>
              <w:t xml:space="preserve">4～20mA RS232/RS485</w:t>
            </w:r>
            <w:r>
              <w:rPr>
                <w:lang w:eastAsia="en-US"/>
              </w:rPr>
            </w:r>
            <w:r/>
          </w:p>
        </w:tc>
      </w:tr>
    </w:tbl>
    <w:p>
      <w:pPr>
        <w:pStyle w:val="1011"/>
        <w:ind w:left="455"/>
        <w:spacing w:before="171" w:line="219" w:lineRule="auto"/>
        <w:rPr>
          <w:rFonts w:ascii="宋体" w:hAnsi="宋体" w:cs="宋体"/>
        </w:rPr>
      </w:pPr>
      <w:r>
        <w:rPr>
          <w:rFonts w:ascii="宋体" w:hAnsi="宋体" w:cs="宋体"/>
          <w:spacing w:val="-1"/>
        </w:rPr>
        <w:t xml:space="preserve">③氨氮水质在线分析仪</w:t>
      </w:r>
      <w:r>
        <w:rPr>
          <w:rFonts w:ascii="宋体" w:hAnsi="宋体" w:cs="宋体"/>
        </w:rPr>
      </w:r>
      <w:r/>
    </w:p>
    <w:p>
      <w:pPr>
        <w:pStyle w:val="1011"/>
        <w:spacing w:line="18" w:lineRule="exact"/>
      </w:pPr>
      <w:r/>
      <w:r/>
    </w:p>
    <w:tbl>
      <w:tblPr>
        <w:tblW w:w="8524" w:type="dxa"/>
        <w:tblInd w:w="58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06"/>
        <w:gridCol w:w="6318"/>
      </w:tblGrid>
      <w:tr>
        <w:trPr>
          <w:trHeight w:val="419"/>
        </w:trPr>
        <w:tc>
          <w:tcPr>
            <w:gridSpan w:val="2"/>
            <w:tcW w:w="8524" w:type="dxa"/>
            <w:vAlign w:val="top"/>
            <w:textDirection w:val="lrTb"/>
            <w:noWrap w:val="false"/>
          </w:tcPr>
          <w:p>
            <w:pPr>
              <w:pStyle w:val="1198"/>
              <w:ind w:left="115"/>
              <w:spacing w:before="34" w:line="221" w:lineRule="auto"/>
              <w:rPr>
                <w:lang w:eastAsia="en-US"/>
              </w:rPr>
            </w:pPr>
            <w:r>
              <w:rPr>
                <w:spacing w:val="-4"/>
                <w:lang w:eastAsia="en-US"/>
              </w:rPr>
              <w:t xml:space="preserve">氨氮性能参数</w:t>
            </w:r>
            <w:r>
              <w:rPr>
                <w:lang w:eastAsia="en-US"/>
              </w:rPr>
            </w:r>
            <w:r/>
          </w:p>
        </w:tc>
      </w:tr>
      <w:tr>
        <w:trPr>
          <w:trHeight w:val="412"/>
        </w:trPr>
        <w:tc>
          <w:tcPr>
            <w:tcW w:w="2206" w:type="dxa"/>
            <w:vAlign w:val="top"/>
            <w:textDirection w:val="lrTb"/>
            <w:noWrap w:val="false"/>
          </w:tcPr>
          <w:p>
            <w:pPr>
              <w:pStyle w:val="1198"/>
              <w:ind w:left="116"/>
              <w:spacing w:before="30" w:line="223" w:lineRule="auto"/>
              <w:rPr>
                <w:lang w:eastAsia="en-US"/>
              </w:rPr>
            </w:pPr>
            <w:r>
              <w:rPr>
                <w:spacing w:val="-4"/>
                <w:lang w:eastAsia="en-US"/>
              </w:rPr>
              <w:t xml:space="preserve">测量方法</w:t>
            </w:r>
            <w:r>
              <w:rPr>
                <w:lang w:eastAsia="en-US"/>
              </w:rPr>
            </w:r>
            <w:r/>
          </w:p>
        </w:tc>
        <w:tc>
          <w:tcPr>
            <w:tcW w:w="6318" w:type="dxa"/>
            <w:vAlign w:val="top"/>
            <w:textDirection w:val="lrTb"/>
            <w:noWrap w:val="false"/>
          </w:tcPr>
          <w:p>
            <w:pPr>
              <w:pStyle w:val="1198"/>
              <w:ind w:left="113"/>
              <w:spacing w:before="30" w:line="220" w:lineRule="auto"/>
            </w:pPr>
            <w:r>
              <w:rPr>
                <w:spacing w:val="-3"/>
              </w:rPr>
              <w:t xml:space="preserve">基于 水质-氨氮的测定-水杨酸分光光度法（HJ</w:t>
            </w:r>
            <w:r>
              <w:rPr>
                <w:spacing w:val="-4"/>
              </w:rPr>
              <w:t xml:space="preserve"> 536-2009）</w:t>
            </w:r>
            <w:r/>
          </w:p>
        </w:tc>
      </w:tr>
      <w:tr>
        <w:trPr>
          <w:trHeight w:val="822"/>
        </w:trPr>
        <w:tc>
          <w:tcPr>
            <w:tcW w:w="2206" w:type="dxa"/>
            <w:vAlign w:val="top"/>
            <w:textDirection w:val="lrTb"/>
            <w:noWrap w:val="false"/>
          </w:tcPr>
          <w:p>
            <w:pPr>
              <w:pStyle w:val="1198"/>
              <w:ind w:left="116"/>
              <w:spacing w:before="31" w:line="222" w:lineRule="auto"/>
              <w:rPr>
                <w:lang w:eastAsia="en-US"/>
              </w:rPr>
            </w:pPr>
            <w:r>
              <w:rPr>
                <w:spacing w:val="-4"/>
                <w:lang w:eastAsia="en-US"/>
              </w:rPr>
              <w:t xml:space="preserve">量程范围</w:t>
            </w:r>
            <w:r>
              <w:rPr>
                <w:lang w:eastAsia="en-US"/>
              </w:rPr>
            </w:r>
            <w:r/>
          </w:p>
        </w:tc>
        <w:tc>
          <w:tcPr>
            <w:tcW w:w="6318" w:type="dxa"/>
            <w:vAlign w:val="top"/>
            <w:textDirection w:val="lrTb"/>
            <w:noWrap w:val="false"/>
          </w:tcPr>
          <w:p>
            <w:pPr>
              <w:pStyle w:val="1198"/>
              <w:ind w:left="113" w:right="4034"/>
              <w:spacing w:before="31" w:line="343" w:lineRule="auto"/>
              <w:rPr>
                <w:lang w:eastAsia="en-US"/>
              </w:rPr>
            </w:pPr>
            <w:r>
              <w:rPr>
                <w:spacing w:val="-7"/>
                <w:lang w:eastAsia="en-US"/>
              </w:rPr>
              <w:t xml:space="preserve">基本量程0.2～12mg/L；</w:t>
            </w:r>
            <w:r>
              <w:rPr>
                <w:spacing w:val="-5"/>
                <w:lang w:eastAsia="en-US"/>
              </w:rPr>
              <w:t xml:space="preserve">扩展量程100mg/L</w:t>
            </w:r>
            <w:r>
              <w:rPr>
                <w:lang w:eastAsia="en-US"/>
              </w:rPr>
            </w:r>
            <w:r/>
          </w:p>
        </w:tc>
      </w:tr>
      <w:tr>
        <w:trPr>
          <w:trHeight w:val="412"/>
        </w:trPr>
        <w:tc>
          <w:tcPr>
            <w:tcW w:w="2206" w:type="dxa"/>
            <w:vAlign w:val="top"/>
            <w:textDirection w:val="lrTb"/>
            <w:noWrap w:val="false"/>
          </w:tcPr>
          <w:p>
            <w:pPr>
              <w:pStyle w:val="1198"/>
              <w:ind w:left="116"/>
              <w:spacing w:before="32" w:line="222" w:lineRule="auto"/>
              <w:rPr>
                <w:lang w:eastAsia="en-US"/>
              </w:rPr>
            </w:pPr>
            <w:r>
              <w:rPr>
                <w:spacing w:val="-4"/>
                <w:lang w:eastAsia="en-US"/>
              </w:rPr>
              <w:t xml:space="preserve">重复性</w:t>
            </w:r>
            <w:r>
              <w:rPr>
                <w:lang w:eastAsia="en-US"/>
              </w:rPr>
            </w:r>
            <w:r/>
          </w:p>
        </w:tc>
        <w:tc>
          <w:tcPr>
            <w:tcW w:w="6318" w:type="dxa"/>
            <w:vAlign w:val="top"/>
            <w:textDirection w:val="lrTb"/>
            <w:noWrap w:val="false"/>
          </w:tcPr>
          <w:p>
            <w:pPr>
              <w:pStyle w:val="1198"/>
              <w:ind w:left="128"/>
              <w:spacing w:before="31" w:line="238" w:lineRule="auto"/>
              <w:rPr>
                <w:lang w:eastAsia="en-US"/>
              </w:rPr>
            </w:pPr>
            <w:r>
              <w:rPr>
                <w:spacing w:val="-9"/>
                <w:lang w:eastAsia="en-US"/>
              </w:rPr>
              <w:t xml:space="preserve">≤2%</w:t>
            </w:r>
            <w:r>
              <w:rPr>
                <w:lang w:eastAsia="en-US"/>
              </w:rPr>
            </w:r>
            <w:r/>
          </w:p>
        </w:tc>
      </w:tr>
      <w:tr>
        <w:trPr>
          <w:trHeight w:val="821"/>
        </w:trPr>
        <w:tc>
          <w:tcPr>
            <w:tcW w:w="2206" w:type="dxa"/>
            <w:vAlign w:val="top"/>
            <w:textDirection w:val="lrTb"/>
            <w:noWrap w:val="false"/>
          </w:tcPr>
          <w:p>
            <w:pPr>
              <w:pStyle w:val="1198"/>
              <w:ind w:left="116"/>
              <w:spacing w:before="32" w:line="221" w:lineRule="auto"/>
              <w:rPr>
                <w:lang w:eastAsia="en-US"/>
              </w:rPr>
            </w:pPr>
            <w:r>
              <w:rPr>
                <w:spacing w:val="-4"/>
                <w:lang w:eastAsia="en-US"/>
              </w:rPr>
              <w:t xml:space="preserve">示值误差</w:t>
            </w:r>
            <w:r>
              <w:rPr>
                <w:lang w:eastAsia="en-US"/>
              </w:rPr>
            </w:r>
            <w:r/>
          </w:p>
        </w:tc>
        <w:tc>
          <w:tcPr>
            <w:tcW w:w="6318" w:type="dxa"/>
            <w:vAlign w:val="top"/>
            <w:textDirection w:val="lrTb"/>
            <w:noWrap w:val="false"/>
          </w:tcPr>
          <w:p>
            <w:pPr>
              <w:pStyle w:val="1198"/>
              <w:ind w:left="114" w:right="3421"/>
              <w:spacing w:before="32" w:line="342" w:lineRule="auto"/>
              <w:rPr>
                <w:lang w:eastAsia="en-US"/>
              </w:rPr>
            </w:pPr>
            <w:r>
              <w:rPr>
                <w:spacing w:val="-3"/>
                <w:lang w:eastAsia="en-US"/>
              </w:rPr>
              <w:t xml:space="preserve">示值≤2.0mg/L：≤±0.2mg/L;示值﹥2.0mg/L：≤±10%</w:t>
            </w:r>
            <w:r>
              <w:rPr>
                <w:lang w:eastAsia="en-US"/>
              </w:rPr>
            </w:r>
            <w:r/>
          </w:p>
        </w:tc>
      </w:tr>
      <w:tr>
        <w:trPr>
          <w:trHeight w:val="417"/>
        </w:trPr>
        <w:tc>
          <w:tcPr>
            <w:tcW w:w="2206" w:type="dxa"/>
            <w:vAlign w:val="top"/>
            <w:textDirection w:val="lrTb"/>
            <w:noWrap w:val="false"/>
          </w:tcPr>
          <w:p>
            <w:pPr>
              <w:pStyle w:val="1198"/>
              <w:ind w:left="116"/>
              <w:spacing w:before="34" w:line="221" w:lineRule="auto"/>
              <w:rPr>
                <w:lang w:eastAsia="en-US"/>
              </w:rPr>
            </w:pPr>
            <w:r>
              <w:rPr>
                <w:spacing w:val="-4"/>
                <w:lang w:eastAsia="en-US"/>
              </w:rPr>
              <w:t xml:space="preserve">零点漂移</w:t>
            </w:r>
            <w:r>
              <w:rPr>
                <w:lang w:eastAsia="en-US"/>
              </w:rPr>
            </w:r>
            <w:r/>
          </w:p>
        </w:tc>
        <w:tc>
          <w:tcPr>
            <w:tcW w:w="6318" w:type="dxa"/>
            <w:vAlign w:val="top"/>
            <w:textDirection w:val="lrTb"/>
            <w:noWrap w:val="false"/>
          </w:tcPr>
          <w:p>
            <w:pPr>
              <w:pStyle w:val="1198"/>
              <w:ind w:left="137"/>
              <w:spacing w:before="34" w:line="216" w:lineRule="auto"/>
              <w:rPr>
                <w:lang w:eastAsia="en-US"/>
              </w:rPr>
            </w:pPr>
            <w:r>
              <w:rPr>
                <w:spacing w:val="-5"/>
                <w:lang w:eastAsia="en-US"/>
              </w:rPr>
              <w:t xml:space="preserve">±0.1mg/L</w:t>
            </w:r>
            <w:r>
              <w:rPr>
                <w:lang w:eastAsia="en-US"/>
              </w:rPr>
            </w:r>
            <w:r/>
          </w:p>
        </w:tc>
      </w:tr>
    </w:tbl>
    <w:p>
      <w:pPr>
        <w:pStyle w:val="1182"/>
      </w:pPr>
      <w:r/>
      <w:r/>
    </w:p>
    <w:tbl>
      <w:tblPr>
        <w:tblW w:w="8524" w:type="dxa"/>
        <w:tblInd w:w="58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06"/>
        <w:gridCol w:w="6318"/>
      </w:tblGrid>
      <w:tr>
        <w:trPr>
          <w:trHeight w:val="417"/>
        </w:trPr>
        <w:tc>
          <w:tcPr>
            <w:tcW w:w="2206" w:type="dxa"/>
            <w:vAlign w:val="top"/>
            <w:textDirection w:val="lrTb"/>
            <w:noWrap w:val="false"/>
          </w:tcPr>
          <w:p>
            <w:pPr>
              <w:pStyle w:val="1198"/>
              <w:ind w:left="116"/>
              <w:spacing w:before="34" w:line="221" w:lineRule="auto"/>
              <w:rPr>
                <w:lang w:eastAsia="en-US"/>
              </w:rPr>
            </w:pPr>
            <w:r>
              <w:rPr>
                <w:spacing w:val="-4"/>
                <w:lang w:eastAsia="en-US"/>
              </w:rPr>
              <w:t xml:space="preserve">量程漂移</w:t>
            </w:r>
            <w:r>
              <w:rPr>
                <w:lang w:eastAsia="en-US"/>
              </w:rPr>
            </w:r>
            <w:r/>
          </w:p>
        </w:tc>
        <w:tc>
          <w:tcPr>
            <w:tcW w:w="6318" w:type="dxa"/>
            <w:vAlign w:val="top"/>
            <w:textDirection w:val="lrTb"/>
            <w:noWrap w:val="false"/>
          </w:tcPr>
          <w:p>
            <w:pPr>
              <w:pStyle w:val="1198"/>
              <w:ind w:left="137"/>
              <w:spacing w:before="33" w:line="216" w:lineRule="auto"/>
              <w:rPr>
                <w:lang w:eastAsia="en-US"/>
              </w:rPr>
            </w:pPr>
            <w:r>
              <w:rPr>
                <w:spacing w:val="-6"/>
                <w:lang w:eastAsia="en-US"/>
              </w:rPr>
              <w:t xml:space="preserve">±0.5mg/L</w:t>
            </w:r>
            <w:r>
              <w:rPr>
                <w:lang w:eastAsia="en-US"/>
              </w:rPr>
            </w:r>
            <w:r/>
          </w:p>
        </w:tc>
      </w:tr>
      <w:tr>
        <w:trPr>
          <w:trHeight w:val="823"/>
        </w:trPr>
        <w:tc>
          <w:tcPr>
            <w:tcW w:w="2206" w:type="dxa"/>
            <w:vAlign w:val="top"/>
            <w:textDirection w:val="lrTb"/>
            <w:noWrap w:val="false"/>
          </w:tcPr>
          <w:p>
            <w:pPr>
              <w:pStyle w:val="1198"/>
              <w:ind w:left="115"/>
              <w:spacing w:before="30" w:line="222" w:lineRule="auto"/>
              <w:rPr>
                <w:lang w:eastAsia="en-US"/>
              </w:rPr>
            </w:pPr>
            <w:r>
              <w:rPr>
                <w:spacing w:val="-4"/>
                <w:lang w:eastAsia="en-US"/>
              </w:rPr>
              <w:t xml:space="preserve">记忆效应</w:t>
            </w:r>
            <w:r>
              <w:rPr>
                <w:lang w:eastAsia="en-US"/>
              </w:rPr>
            </w:r>
            <w:r/>
          </w:p>
        </w:tc>
        <w:tc>
          <w:tcPr>
            <w:tcW w:w="6318" w:type="dxa"/>
            <w:vAlign w:val="top"/>
            <w:textDirection w:val="lrTb"/>
            <w:noWrap w:val="false"/>
          </w:tcPr>
          <w:p>
            <w:pPr>
              <w:pStyle w:val="1198"/>
              <w:ind w:left="114" w:right="2698" w:firstLine="1"/>
              <w:spacing w:before="30" w:line="344" w:lineRule="auto"/>
            </w:pPr>
            <w:r>
              <w:rPr>
                <w:spacing w:val="-4"/>
              </w:rPr>
              <w:t xml:space="preserve">20%量程标液，记忆效应误差±0.3mg/L80%量程标液，记忆效应误差±0.2mg/L</w:t>
            </w:r>
            <w:r/>
          </w:p>
        </w:tc>
      </w:tr>
      <w:tr>
        <w:trPr>
          <w:trHeight w:val="412"/>
        </w:trPr>
        <w:tc>
          <w:tcPr>
            <w:tcW w:w="2206" w:type="dxa"/>
            <w:vAlign w:val="top"/>
            <w:textDirection w:val="lrTb"/>
            <w:noWrap w:val="false"/>
          </w:tcPr>
          <w:p>
            <w:pPr>
              <w:pStyle w:val="1198"/>
              <w:ind w:left="140"/>
              <w:spacing w:before="30" w:line="222" w:lineRule="auto"/>
              <w:rPr>
                <w:lang w:eastAsia="en-US"/>
              </w:rPr>
            </w:pPr>
            <w:r>
              <w:rPr>
                <w:spacing w:val="-7"/>
                <w:lang w:eastAsia="en-US"/>
              </w:rPr>
              <w:t xml:space="preserve">电压影响实验</w:t>
            </w:r>
            <w:r>
              <w:rPr>
                <w:lang w:eastAsia="en-US"/>
              </w:rPr>
            </w:r>
            <w:r/>
          </w:p>
        </w:tc>
        <w:tc>
          <w:tcPr>
            <w:tcW w:w="6318" w:type="dxa"/>
            <w:vAlign w:val="top"/>
            <w:textDirection w:val="lrTb"/>
            <w:noWrap w:val="false"/>
          </w:tcPr>
          <w:p>
            <w:pPr>
              <w:pStyle w:val="1198"/>
              <w:ind w:left="137"/>
              <w:spacing w:before="30" w:line="237" w:lineRule="auto"/>
              <w:rPr>
                <w:lang w:eastAsia="en-US"/>
              </w:rPr>
            </w:pPr>
            <w:r>
              <w:rPr>
                <w:spacing w:val="-7"/>
                <w:lang w:eastAsia="en-US"/>
              </w:rPr>
              <w:t xml:space="preserve">±5.0%</w:t>
            </w:r>
            <w:r>
              <w:rPr>
                <w:lang w:eastAsia="en-US"/>
              </w:rPr>
            </w:r>
            <w:r/>
          </w:p>
        </w:tc>
      </w:tr>
      <w:tr>
        <w:trPr>
          <w:trHeight w:val="415"/>
        </w:trPr>
        <w:tc>
          <w:tcPr>
            <w:tcW w:w="2206" w:type="dxa"/>
            <w:vAlign w:val="top"/>
            <w:textDirection w:val="lrTb"/>
            <w:noWrap w:val="false"/>
          </w:tcPr>
          <w:p>
            <w:pPr>
              <w:pStyle w:val="1198"/>
              <w:ind w:left="113"/>
              <w:spacing w:before="30" w:line="216" w:lineRule="auto"/>
              <w:rPr>
                <w:lang w:eastAsia="en-US"/>
              </w:rPr>
            </w:pPr>
            <w:r>
              <w:rPr>
                <w:spacing w:val="-4"/>
                <w:lang w:eastAsia="en-US"/>
              </w:rPr>
              <w:t xml:space="preserve">pH影响实验</w:t>
            </w:r>
            <w:r>
              <w:rPr>
                <w:lang w:eastAsia="en-US"/>
              </w:rPr>
            </w:r>
            <w:r/>
          </w:p>
        </w:tc>
        <w:tc>
          <w:tcPr>
            <w:tcW w:w="6318" w:type="dxa"/>
            <w:vAlign w:val="top"/>
            <w:textDirection w:val="lrTb"/>
            <w:noWrap w:val="false"/>
          </w:tcPr>
          <w:p>
            <w:pPr>
              <w:pStyle w:val="1198"/>
              <w:ind w:left="137"/>
              <w:spacing w:before="30" w:line="237" w:lineRule="auto"/>
              <w:rPr>
                <w:lang w:eastAsia="en-US"/>
              </w:rPr>
            </w:pPr>
            <w:r>
              <w:rPr>
                <w:spacing w:val="-7"/>
                <w:lang w:eastAsia="en-US"/>
              </w:rPr>
              <w:t xml:space="preserve">±6.0%</w:t>
            </w:r>
            <w:r>
              <w:rPr>
                <w:lang w:eastAsia="en-US"/>
              </w:rPr>
            </w:r>
            <w:r/>
          </w:p>
        </w:tc>
      </w:tr>
      <w:tr>
        <w:trPr>
          <w:trHeight w:val="412"/>
        </w:trPr>
        <w:tc>
          <w:tcPr>
            <w:tcW w:w="2206" w:type="dxa"/>
            <w:vAlign w:val="top"/>
            <w:textDirection w:val="lrTb"/>
            <w:noWrap w:val="false"/>
          </w:tcPr>
          <w:p>
            <w:pPr>
              <w:pStyle w:val="1198"/>
              <w:ind w:left="116"/>
              <w:spacing w:before="30" w:line="221" w:lineRule="auto"/>
              <w:rPr>
                <w:lang w:eastAsia="en-US"/>
              </w:rPr>
            </w:pPr>
            <w:r>
              <w:rPr>
                <w:spacing w:val="-4"/>
                <w:lang w:eastAsia="en-US"/>
              </w:rPr>
              <w:t xml:space="preserve">稳定性</w:t>
            </w:r>
            <w:r>
              <w:rPr>
                <w:lang w:eastAsia="en-US"/>
              </w:rPr>
            </w:r>
            <w:r/>
          </w:p>
        </w:tc>
        <w:tc>
          <w:tcPr>
            <w:tcW w:w="6318" w:type="dxa"/>
            <w:vAlign w:val="top"/>
            <w:textDirection w:val="lrTb"/>
            <w:noWrap w:val="false"/>
          </w:tcPr>
          <w:p>
            <w:pPr>
              <w:pStyle w:val="1198"/>
              <w:ind w:left="112"/>
              <w:spacing w:before="30" w:line="221" w:lineRule="auto"/>
              <w:rPr>
                <w:lang w:eastAsia="en-US"/>
              </w:rPr>
            </w:pPr>
            <w:r>
              <w:rPr>
                <w:spacing w:val="-6"/>
                <w:lang w:eastAsia="en-US"/>
              </w:rPr>
              <w:t xml:space="preserve">4h内不超过±10%</w:t>
            </w:r>
            <w:r>
              <w:rPr>
                <w:lang w:eastAsia="en-US"/>
              </w:rPr>
            </w:r>
            <w:r/>
          </w:p>
        </w:tc>
      </w:tr>
      <w:tr>
        <w:trPr>
          <w:trHeight w:val="412"/>
        </w:trPr>
        <w:tc>
          <w:tcPr>
            <w:tcW w:w="2206" w:type="dxa"/>
            <w:vAlign w:val="top"/>
            <w:textDirection w:val="lrTb"/>
            <w:noWrap w:val="false"/>
          </w:tcPr>
          <w:p>
            <w:pPr>
              <w:pStyle w:val="1198"/>
              <w:ind w:left="117"/>
              <w:spacing w:before="31" w:line="222" w:lineRule="auto"/>
              <w:rPr>
                <w:lang w:eastAsia="en-US"/>
              </w:rPr>
            </w:pPr>
            <w:r>
              <w:rPr>
                <w:spacing w:val="-4"/>
                <w:lang w:eastAsia="en-US"/>
              </w:rPr>
              <w:t xml:space="preserve">直线性</w:t>
            </w:r>
            <w:r>
              <w:rPr>
                <w:lang w:eastAsia="en-US"/>
              </w:rPr>
            </w:r>
            <w:r/>
          </w:p>
        </w:tc>
        <w:tc>
          <w:tcPr>
            <w:tcW w:w="6318" w:type="dxa"/>
            <w:vAlign w:val="top"/>
            <w:textDirection w:val="lrTb"/>
            <w:noWrap w:val="false"/>
          </w:tcPr>
          <w:p>
            <w:pPr>
              <w:pStyle w:val="1198"/>
              <w:ind w:left="137"/>
              <w:spacing w:before="31" w:line="237" w:lineRule="auto"/>
              <w:rPr>
                <w:lang w:eastAsia="en-US"/>
              </w:rPr>
            </w:pPr>
            <w:r>
              <w:rPr>
                <w:spacing w:val="-9"/>
                <w:lang w:eastAsia="en-US"/>
              </w:rPr>
              <w:t xml:space="preserve">±10%</w:t>
            </w:r>
            <w:r>
              <w:rPr>
                <w:lang w:eastAsia="en-US"/>
              </w:rPr>
            </w:r>
            <w:r/>
          </w:p>
        </w:tc>
      </w:tr>
      <w:tr>
        <w:trPr>
          <w:trHeight w:val="415"/>
        </w:trPr>
        <w:tc>
          <w:tcPr>
            <w:tcW w:w="2206" w:type="dxa"/>
            <w:vAlign w:val="top"/>
            <w:textDirection w:val="lrTb"/>
            <w:noWrap w:val="false"/>
          </w:tcPr>
          <w:p>
            <w:pPr>
              <w:pStyle w:val="1198"/>
              <w:ind w:left="116"/>
              <w:spacing w:before="34" w:line="222" w:lineRule="auto"/>
              <w:rPr>
                <w:lang w:eastAsia="en-US"/>
              </w:rPr>
            </w:pPr>
            <w:r>
              <w:rPr>
                <w:spacing w:val="-4"/>
                <w:lang w:eastAsia="en-US"/>
              </w:rPr>
              <w:t xml:space="preserve">环境温度影响试验</w:t>
            </w:r>
            <w:r>
              <w:rPr>
                <w:lang w:eastAsia="en-US"/>
              </w:rPr>
            </w:r>
            <w:r/>
          </w:p>
        </w:tc>
        <w:tc>
          <w:tcPr>
            <w:tcW w:w="6318" w:type="dxa"/>
            <w:vAlign w:val="top"/>
            <w:textDirection w:val="lrTb"/>
            <w:noWrap w:val="false"/>
          </w:tcPr>
          <w:p>
            <w:pPr>
              <w:pStyle w:val="1198"/>
              <w:ind w:left="128"/>
              <w:spacing w:before="34" w:line="238" w:lineRule="auto"/>
              <w:rPr>
                <w:lang w:eastAsia="en-US"/>
              </w:rPr>
            </w:pPr>
            <w:r>
              <w:rPr>
                <w:spacing w:val="-6"/>
                <w:lang w:eastAsia="en-US"/>
              </w:rPr>
              <w:t xml:space="preserve">≤5.0%</w:t>
            </w:r>
            <w:r>
              <w:rPr>
                <w:lang w:eastAsia="en-US"/>
              </w:rPr>
            </w:r>
            <w:r/>
          </w:p>
        </w:tc>
      </w:tr>
      <w:tr>
        <w:trPr>
          <w:trHeight w:val="820"/>
        </w:trPr>
        <w:tc>
          <w:tcPr>
            <w:tcW w:w="2206" w:type="dxa"/>
            <w:vAlign w:val="top"/>
            <w:textDirection w:val="lrTb"/>
            <w:noWrap w:val="false"/>
          </w:tcPr>
          <w:p>
            <w:pPr>
              <w:pStyle w:val="1198"/>
              <w:ind w:left="115" w:right="98" w:firstLine="5"/>
              <w:spacing w:before="31" w:line="342" w:lineRule="auto"/>
            </w:pPr>
            <w:r>
              <w:rPr>
                <w:spacing w:val="10"/>
              </w:rPr>
              <w:t xml:space="preserve">实际废水样品比对实</w:t>
            </w:r>
            <w:r>
              <w:t xml:space="preserve">验</w:t>
            </w:r>
            <w:r/>
          </w:p>
        </w:tc>
        <w:tc>
          <w:tcPr>
            <w:tcW w:w="6318" w:type="dxa"/>
            <w:vAlign w:val="top"/>
            <w:textDirection w:val="lrTb"/>
            <w:noWrap w:val="false"/>
          </w:tcPr>
          <w:p>
            <w:pPr>
              <w:pStyle w:val="1198"/>
              <w:ind w:left="113" w:right="2958"/>
              <w:spacing w:before="31" w:line="342" w:lineRule="auto"/>
            </w:pPr>
            <w:r>
              <w:rPr>
                <w:spacing w:val="-4"/>
              </w:rPr>
              <w:t xml:space="preserve">氨氮浓度＜2.00mg/L时，≤0.2mg/L氨氮浓度≥2.00mg/L时，≤10%</w:t>
            </w:r>
            <w:r/>
          </w:p>
        </w:tc>
      </w:tr>
      <w:tr>
        <w:trPr>
          <w:trHeight w:val="415"/>
        </w:trPr>
        <w:tc>
          <w:tcPr>
            <w:tcW w:w="2206" w:type="dxa"/>
            <w:vAlign w:val="top"/>
            <w:textDirection w:val="lrTb"/>
            <w:noWrap w:val="false"/>
          </w:tcPr>
          <w:p>
            <w:pPr>
              <w:pStyle w:val="1198"/>
              <w:ind w:left="116"/>
              <w:spacing w:before="34" w:line="222" w:lineRule="auto"/>
              <w:rPr>
                <w:lang w:eastAsia="en-US"/>
              </w:rPr>
            </w:pPr>
            <w:r>
              <w:rPr>
                <w:spacing w:val="-3"/>
                <w:lang w:eastAsia="en-US"/>
              </w:rPr>
              <w:t xml:space="preserve">校准</w:t>
            </w:r>
            <w:r>
              <w:rPr>
                <w:lang w:eastAsia="en-US"/>
              </w:rPr>
            </w:r>
            <w:r/>
          </w:p>
        </w:tc>
        <w:tc>
          <w:tcPr>
            <w:tcW w:w="6318" w:type="dxa"/>
            <w:vAlign w:val="top"/>
            <w:textDirection w:val="lrTb"/>
            <w:noWrap w:val="false"/>
          </w:tcPr>
          <w:p>
            <w:pPr>
              <w:pStyle w:val="1198"/>
              <w:ind w:left="113"/>
              <w:spacing w:before="34" w:line="222" w:lineRule="auto"/>
              <w:rPr>
                <w:lang w:eastAsia="en-US"/>
              </w:rPr>
            </w:pPr>
            <w:r>
              <w:rPr>
                <w:spacing w:val="-4"/>
                <w:lang w:eastAsia="en-US"/>
              </w:rPr>
              <w:t xml:space="preserve">手动校准和自动校准</w:t>
            </w:r>
            <w:r>
              <w:rPr>
                <w:lang w:eastAsia="en-US"/>
              </w:rPr>
            </w:r>
            <w:r/>
          </w:p>
        </w:tc>
      </w:tr>
      <w:tr>
        <w:trPr>
          <w:trHeight w:val="412"/>
        </w:trPr>
        <w:tc>
          <w:tcPr>
            <w:gridSpan w:val="2"/>
            <w:tcW w:w="8524" w:type="dxa"/>
            <w:vAlign w:val="top"/>
            <w:textDirection w:val="lrTb"/>
            <w:noWrap w:val="false"/>
          </w:tcPr>
          <w:p>
            <w:pPr>
              <w:pStyle w:val="1198"/>
              <w:ind w:left="116"/>
              <w:spacing w:before="32" w:line="221" w:lineRule="auto"/>
              <w:rPr>
                <w:lang w:eastAsia="en-US"/>
              </w:rPr>
            </w:pPr>
            <w:r>
              <w:rPr>
                <w:spacing w:val="-4"/>
                <w:lang w:eastAsia="en-US"/>
              </w:rPr>
              <w:t xml:space="preserve">物理参数和环境参数</w:t>
            </w:r>
            <w:r>
              <w:rPr>
                <w:lang w:eastAsia="en-US"/>
              </w:rPr>
            </w:r>
            <w:r/>
          </w:p>
        </w:tc>
      </w:tr>
      <w:tr>
        <w:trPr>
          <w:trHeight w:val="823"/>
        </w:trPr>
        <w:tc>
          <w:tcPr>
            <w:tcW w:w="2206" w:type="dxa"/>
            <w:vAlign w:val="top"/>
            <w:textDirection w:val="lrTb"/>
            <w:noWrap w:val="false"/>
          </w:tcPr>
          <w:p>
            <w:pPr>
              <w:pStyle w:val="1198"/>
              <w:ind w:left="115"/>
              <w:spacing w:before="32" w:line="221" w:lineRule="auto"/>
              <w:rPr>
                <w:lang w:eastAsia="en-US"/>
              </w:rPr>
            </w:pPr>
            <w:r>
              <w:rPr>
                <w:spacing w:val="-6"/>
                <w:lang w:eastAsia="en-US"/>
              </w:rPr>
              <w:t xml:space="preserve">尺寸（约为）</w:t>
            </w:r>
            <w:r>
              <w:rPr>
                <w:lang w:eastAsia="en-US"/>
              </w:rPr>
            </w:r>
            <w:r/>
          </w:p>
        </w:tc>
        <w:tc>
          <w:tcPr>
            <w:tcW w:w="6318" w:type="dxa"/>
            <w:vAlign w:val="top"/>
            <w:textDirection w:val="lrTb"/>
            <w:noWrap w:val="false"/>
          </w:tcPr>
          <w:p>
            <w:pPr>
              <w:pStyle w:val="1198"/>
              <w:ind w:left="114"/>
              <w:spacing w:before="33" w:line="221" w:lineRule="auto"/>
            </w:pPr>
            <w:r>
              <w:rPr>
                <w:spacing w:val="-4"/>
              </w:rPr>
              <w:t xml:space="preserve">仪表：宽350mm×高400mm×深320mm</w:t>
            </w:r>
            <w:r/>
          </w:p>
          <w:p>
            <w:pPr>
              <w:pStyle w:val="1198"/>
              <w:ind w:left="113"/>
              <w:spacing w:before="158" w:line="221" w:lineRule="auto"/>
            </w:pPr>
            <w:r>
              <w:rPr>
                <w:spacing w:val="-4"/>
              </w:rPr>
              <w:t xml:space="preserve">试剂仓：宽350mm×高380mm×深320mm</w:t>
            </w:r>
            <w:r/>
          </w:p>
        </w:tc>
      </w:tr>
      <w:tr>
        <w:trPr>
          <w:trHeight w:val="412"/>
        </w:trPr>
        <w:tc>
          <w:tcPr>
            <w:tcW w:w="2206" w:type="dxa"/>
            <w:vAlign w:val="top"/>
            <w:textDirection w:val="lrTb"/>
            <w:noWrap w:val="false"/>
          </w:tcPr>
          <w:p>
            <w:pPr>
              <w:pStyle w:val="1198"/>
              <w:ind w:left="116"/>
              <w:spacing w:before="33" w:line="222" w:lineRule="auto"/>
              <w:rPr>
                <w:lang w:eastAsia="en-US"/>
              </w:rPr>
            </w:pPr>
            <w:r>
              <w:rPr>
                <w:spacing w:val="-4"/>
                <w:lang w:eastAsia="en-US"/>
              </w:rPr>
              <w:t xml:space="preserve">环境温度</w:t>
            </w:r>
            <w:r>
              <w:rPr>
                <w:lang w:eastAsia="en-US"/>
              </w:rPr>
            </w:r>
            <w:r/>
          </w:p>
        </w:tc>
        <w:tc>
          <w:tcPr>
            <w:tcW w:w="6318" w:type="dxa"/>
            <w:vAlign w:val="top"/>
            <w:textDirection w:val="lrTb"/>
            <w:noWrap w:val="false"/>
          </w:tcPr>
          <w:p>
            <w:pPr>
              <w:pStyle w:val="1198"/>
              <w:ind w:left="114"/>
              <w:spacing w:before="33" w:line="239" w:lineRule="auto"/>
              <w:rPr>
                <w:lang w:eastAsia="en-US"/>
              </w:rPr>
            </w:pPr>
            <w:r>
              <w:rPr>
                <w:spacing w:val="12"/>
                <w:lang w:eastAsia="en-US"/>
              </w:rPr>
              <w:t xml:space="preserve">+5℃~40℃</w:t>
            </w:r>
            <w:r>
              <w:rPr>
                <w:lang w:eastAsia="en-US"/>
              </w:rPr>
            </w:r>
            <w:r/>
          </w:p>
        </w:tc>
      </w:tr>
      <w:tr>
        <w:trPr>
          <w:trHeight w:val="415"/>
        </w:trPr>
        <w:tc>
          <w:tcPr>
            <w:tcW w:w="2206" w:type="dxa"/>
            <w:vAlign w:val="top"/>
            <w:textDirection w:val="lrTb"/>
            <w:noWrap w:val="false"/>
          </w:tcPr>
          <w:p>
            <w:pPr>
              <w:pStyle w:val="1198"/>
              <w:ind w:left="116"/>
              <w:spacing w:before="33" w:line="222" w:lineRule="auto"/>
              <w:rPr>
                <w:lang w:eastAsia="en-US"/>
              </w:rPr>
            </w:pPr>
            <w:r>
              <w:rPr>
                <w:spacing w:val="-3"/>
                <w:lang w:eastAsia="en-US"/>
              </w:rPr>
              <w:t xml:space="preserve">湿度</w:t>
            </w:r>
            <w:r>
              <w:rPr>
                <w:lang w:eastAsia="en-US"/>
              </w:rPr>
            </w:r>
            <w:r/>
          </w:p>
        </w:tc>
        <w:tc>
          <w:tcPr>
            <w:tcW w:w="6318" w:type="dxa"/>
            <w:vAlign w:val="top"/>
            <w:textDirection w:val="lrTb"/>
            <w:noWrap w:val="false"/>
          </w:tcPr>
          <w:p>
            <w:pPr>
              <w:pStyle w:val="1198"/>
              <w:ind w:left="119"/>
              <w:spacing w:before="33" w:line="222" w:lineRule="auto"/>
              <w:rPr>
                <w:lang w:eastAsia="en-US"/>
              </w:rPr>
            </w:pPr>
            <w:r>
              <w:rPr>
                <w:spacing w:val="-5"/>
                <w:lang w:eastAsia="en-US"/>
              </w:rPr>
              <w:t xml:space="preserve">（65±20）%（不结露）</w:t>
            </w:r>
            <w:r>
              <w:rPr>
                <w:lang w:eastAsia="en-US"/>
              </w:rPr>
            </w:r>
            <w:r/>
          </w:p>
        </w:tc>
      </w:tr>
      <w:tr>
        <w:trPr>
          <w:trHeight w:val="412"/>
        </w:trPr>
        <w:tc>
          <w:tcPr>
            <w:gridSpan w:val="2"/>
            <w:tcW w:w="8524" w:type="dxa"/>
            <w:vAlign w:val="top"/>
            <w:textDirection w:val="lrTb"/>
            <w:noWrap w:val="false"/>
          </w:tcPr>
          <w:p>
            <w:pPr>
              <w:pStyle w:val="1198"/>
              <w:ind w:left="116"/>
              <w:spacing w:before="33" w:line="221" w:lineRule="auto"/>
              <w:rPr>
                <w:lang w:eastAsia="en-US"/>
              </w:rPr>
            </w:pPr>
            <w:r>
              <w:rPr>
                <w:spacing w:val="-4"/>
                <w:lang w:eastAsia="en-US"/>
              </w:rPr>
              <w:t xml:space="preserve">其他技术参数</w:t>
            </w:r>
            <w:r>
              <w:rPr>
                <w:lang w:eastAsia="en-US"/>
              </w:rPr>
            </w:r>
            <w:r/>
          </w:p>
        </w:tc>
      </w:tr>
      <w:tr>
        <w:trPr>
          <w:trHeight w:val="412"/>
        </w:trPr>
        <w:tc>
          <w:tcPr>
            <w:tcW w:w="2206" w:type="dxa"/>
            <w:vAlign w:val="top"/>
            <w:textDirection w:val="lrTb"/>
            <w:noWrap w:val="false"/>
          </w:tcPr>
          <w:p>
            <w:pPr>
              <w:pStyle w:val="1198"/>
              <w:ind w:left="140"/>
              <w:spacing w:before="33" w:line="223" w:lineRule="auto"/>
              <w:rPr>
                <w:lang w:eastAsia="en-US"/>
              </w:rPr>
            </w:pPr>
            <w:r>
              <w:rPr>
                <w:spacing w:val="-9"/>
                <w:lang w:eastAsia="en-US"/>
              </w:rPr>
              <w:t xml:space="preserve">电源要求</w:t>
            </w:r>
            <w:r>
              <w:rPr>
                <w:lang w:eastAsia="en-US"/>
              </w:rPr>
            </w:r>
            <w:r/>
          </w:p>
        </w:tc>
        <w:tc>
          <w:tcPr>
            <w:tcW w:w="6318" w:type="dxa"/>
            <w:vAlign w:val="top"/>
            <w:textDirection w:val="lrTb"/>
            <w:noWrap w:val="false"/>
          </w:tcPr>
          <w:p>
            <w:pPr>
              <w:pStyle w:val="1198"/>
              <w:ind w:left="106"/>
              <w:spacing w:before="34" w:line="224" w:lineRule="auto"/>
              <w:rPr>
                <w:lang w:eastAsia="en-US"/>
              </w:rPr>
            </w:pPr>
            <w:r>
              <w:rPr>
                <w:spacing w:val="-2"/>
                <w:lang w:eastAsia="en-US"/>
              </w:rPr>
              <w:t xml:space="preserve">AC(220±22)V/(50±0.5)Hz</w:t>
            </w:r>
            <w:r>
              <w:rPr>
                <w:lang w:eastAsia="en-US"/>
              </w:rPr>
            </w:r>
            <w:r/>
          </w:p>
        </w:tc>
      </w:tr>
      <w:tr>
        <w:trPr>
          <w:trHeight w:val="420"/>
        </w:trPr>
        <w:tc>
          <w:tcPr>
            <w:tcW w:w="2206" w:type="dxa"/>
            <w:vAlign w:val="top"/>
            <w:textDirection w:val="lrTb"/>
            <w:noWrap w:val="false"/>
          </w:tcPr>
          <w:p>
            <w:pPr>
              <w:pStyle w:val="1198"/>
              <w:ind w:left="115"/>
              <w:spacing w:before="34" w:line="221" w:lineRule="auto"/>
              <w:rPr>
                <w:lang w:eastAsia="en-US"/>
              </w:rPr>
            </w:pPr>
            <w:r>
              <w:rPr>
                <w:spacing w:val="-4"/>
                <w:lang w:eastAsia="en-US"/>
              </w:rPr>
              <w:t xml:space="preserve">模拟输出及通讯</w:t>
            </w:r>
            <w:r>
              <w:rPr>
                <w:lang w:eastAsia="en-US"/>
              </w:rPr>
            </w:r>
            <w:r/>
          </w:p>
        </w:tc>
        <w:tc>
          <w:tcPr>
            <w:tcW w:w="6318" w:type="dxa"/>
            <w:vAlign w:val="top"/>
            <w:textDirection w:val="lrTb"/>
            <w:noWrap w:val="false"/>
          </w:tcPr>
          <w:p>
            <w:pPr>
              <w:pStyle w:val="1198"/>
              <w:ind w:left="112"/>
              <w:spacing w:before="35" w:line="226" w:lineRule="auto"/>
              <w:rPr>
                <w:lang w:eastAsia="en-US"/>
              </w:rPr>
            </w:pPr>
            <w:r>
              <w:rPr>
                <w:spacing w:val="-3"/>
                <w:lang w:eastAsia="en-US"/>
              </w:rPr>
              <w:t xml:space="preserve">4～20mA RS232/RS485</w:t>
            </w:r>
            <w:r>
              <w:rPr>
                <w:lang w:eastAsia="en-US"/>
              </w:rPr>
            </w:r>
            <w:r/>
          </w:p>
        </w:tc>
      </w:tr>
    </w:tbl>
    <w:p>
      <w:pPr>
        <w:pStyle w:val="1011"/>
        <w:ind w:left="455"/>
        <w:spacing w:before="171" w:line="219" w:lineRule="auto"/>
        <w:rPr>
          <w:rFonts w:ascii="宋体" w:hAnsi="宋体" w:cs="宋体"/>
        </w:rPr>
      </w:pPr>
      <w:r>
        <w:rPr>
          <w:rFonts w:ascii="宋体" w:hAnsi="宋体" w:cs="宋体"/>
          <w:spacing w:val="-1"/>
        </w:rPr>
        <w:t xml:space="preserve">④电磁流量计</w:t>
      </w:r>
      <w:r>
        <w:rPr>
          <w:rFonts w:ascii="宋体" w:hAnsi="宋体" w:cs="宋体"/>
        </w:rPr>
      </w:r>
      <w:r/>
    </w:p>
    <w:p>
      <w:pPr>
        <w:pStyle w:val="1011"/>
        <w:ind w:left="458"/>
        <w:spacing w:before="190" w:line="218" w:lineRule="auto"/>
        <w:rPr>
          <w:rFonts w:ascii="宋体" w:hAnsi="宋体" w:cs="宋体"/>
        </w:rPr>
      </w:pPr>
      <w:r>
        <w:rPr>
          <w:rFonts w:ascii="宋体" w:hAnsi="宋体" w:cs="宋体"/>
          <w:spacing w:val="-1"/>
        </w:rPr>
        <w:t xml:space="preserve">用途、测量范围及数量：污泥管网水管，DN50，2套；</w:t>
      </w:r>
      <w:r>
        <w:rPr>
          <w:rFonts w:ascii="宋体" w:hAnsi="宋体" w:cs="宋体"/>
          <w:spacing w:val="-2"/>
        </w:rPr>
        <w:t xml:space="preserve"> DN80,1套；</w:t>
      </w:r>
      <w:r>
        <w:rPr>
          <w:rFonts w:ascii="宋体" w:hAnsi="宋体" w:cs="宋体"/>
        </w:rPr>
      </w:r>
      <w:r/>
    </w:p>
    <w:p>
      <w:pPr>
        <w:pStyle w:val="1011"/>
        <w:ind w:left="462"/>
        <w:spacing w:before="190" w:line="223" w:lineRule="auto"/>
        <w:rPr>
          <w:rFonts w:ascii="宋体" w:hAnsi="宋体" w:cs="宋体"/>
        </w:rPr>
      </w:pPr>
      <w:r>
        <w:rPr>
          <w:rFonts w:ascii="宋体" w:hAnsi="宋体" w:cs="宋体"/>
          <w:spacing w:val="-4"/>
        </w:rPr>
        <w:t xml:space="preserve">原理：电磁式。</w:t>
      </w:r>
      <w:r>
        <w:rPr>
          <w:rFonts w:ascii="宋体" w:hAnsi="宋体" w:cs="宋体"/>
        </w:rPr>
      </w:r>
      <w:r/>
    </w:p>
    <w:p>
      <w:pPr>
        <w:pStyle w:val="1011"/>
        <w:ind w:left="457"/>
        <w:spacing w:before="187" w:line="221" w:lineRule="auto"/>
        <w:rPr>
          <w:rFonts w:ascii="宋体" w:hAnsi="宋体" w:cs="宋体"/>
        </w:rPr>
      </w:pPr>
      <w:r>
        <w:rPr>
          <w:rFonts w:ascii="宋体" w:hAnsi="宋体" w:cs="宋体"/>
          <w:spacing w:val="-1"/>
        </w:rPr>
        <w:t xml:space="preserve">测量精度：0.2%或0.5%</w:t>
      </w:r>
      <w:r>
        <w:rPr>
          <w:rFonts w:ascii="宋体" w:hAnsi="宋体" w:cs="宋体"/>
        </w:rPr>
      </w:r>
      <w:r/>
    </w:p>
    <w:p>
      <w:pPr>
        <w:pStyle w:val="1011"/>
        <w:ind w:left="457"/>
        <w:spacing w:before="188" w:line="222" w:lineRule="auto"/>
        <w:rPr>
          <w:rFonts w:ascii="宋体" w:hAnsi="宋体" w:cs="宋体"/>
        </w:rPr>
      </w:pPr>
      <w:r>
        <w:rPr>
          <w:rFonts w:ascii="宋体" w:hAnsi="宋体" w:cs="宋体"/>
        </w:rPr>
        <w:t xml:space="preserve">重复性：0.1%</w:t>
      </w:r>
      <w:r/>
    </w:p>
    <w:p>
      <w:pPr>
        <w:pStyle w:val="1011"/>
        <w:ind w:left="457"/>
        <w:spacing w:before="187" w:line="222" w:lineRule="auto"/>
        <w:rPr>
          <w:rFonts w:ascii="宋体" w:hAnsi="宋体" w:cs="宋体"/>
        </w:rPr>
      </w:pPr>
      <w:r>
        <w:rPr>
          <w:rFonts w:ascii="宋体" w:hAnsi="宋体" w:cs="宋体"/>
          <w:spacing w:val="-1"/>
        </w:rPr>
        <w:t xml:space="preserve">环境温度</w:t>
      </w:r>
      <w:r>
        <w:rPr>
          <w:rFonts w:ascii="宋体" w:hAnsi="宋体" w:cs="宋体"/>
          <w:spacing w:val="-11"/>
        </w:rPr>
        <w:t xml:space="preserve">：－</w:t>
      </w:r>
      <w:r>
        <w:rPr>
          <w:rFonts w:ascii="宋体" w:hAnsi="宋体" w:cs="宋体"/>
          <w:spacing w:val="-1"/>
        </w:rPr>
        <w:t xml:space="preserve">20～+60°C</w:t>
      </w:r>
      <w:r>
        <w:rPr>
          <w:rFonts w:ascii="宋体" w:hAnsi="宋体" w:cs="宋体"/>
        </w:rPr>
      </w:r>
      <w:r/>
    </w:p>
    <w:p>
      <w:pPr>
        <w:pStyle w:val="1011"/>
        <w:ind w:left="457"/>
        <w:spacing w:before="189" w:line="221" w:lineRule="auto"/>
        <w:rPr>
          <w:rFonts w:ascii="宋体" w:hAnsi="宋体" w:cs="宋体"/>
        </w:rPr>
      </w:pPr>
      <w:r>
        <w:rPr>
          <w:rFonts w:ascii="宋体" w:hAnsi="宋体" w:cs="宋体"/>
          <w:spacing w:val="-3"/>
        </w:rPr>
        <w:t xml:space="preserve">介质温度：0~ +80°C</w:t>
      </w:r>
      <w:r>
        <w:rPr>
          <w:rFonts w:ascii="宋体" w:hAnsi="宋体" w:cs="宋体"/>
        </w:rPr>
      </w:r>
      <w:r/>
    </w:p>
    <w:p>
      <w:pPr>
        <w:pStyle w:val="1011"/>
        <w:ind w:left="458"/>
        <w:spacing w:before="188" w:line="221" w:lineRule="auto"/>
        <w:rPr>
          <w:rFonts w:ascii="宋体" w:hAnsi="宋体" w:cs="宋体"/>
        </w:rPr>
      </w:pPr>
      <w:r>
        <w:rPr>
          <w:rFonts w:ascii="宋体" w:hAnsi="宋体" w:cs="宋体"/>
          <w:spacing w:val="-1"/>
        </w:rPr>
        <w:t xml:space="preserve">保护等级：传感器：IP68  变送器：IP67</w:t>
      </w:r>
      <w:r>
        <w:rPr>
          <w:rFonts w:ascii="宋体" w:hAnsi="宋体" w:cs="宋体"/>
        </w:rPr>
      </w:r>
      <w:r/>
    </w:p>
    <w:p>
      <w:pPr>
        <w:pStyle w:val="1011"/>
        <w:ind w:left="458" w:right="2082" w:firstLine="1"/>
        <w:spacing w:before="188" w:line="387" w:lineRule="auto"/>
        <w:rPr>
          <w:rFonts w:ascii="宋体" w:hAnsi="宋体" w:cs="宋体"/>
        </w:rPr>
      </w:pPr>
      <w:r>
        <w:rPr>
          <w:rFonts w:ascii="宋体" w:hAnsi="宋体" w:cs="宋体"/>
          <w:spacing w:val="-1"/>
        </w:rPr>
        <w:t xml:space="preserve">指示器： LCD数字指示，具有现场操作功能。可显</w:t>
      </w:r>
      <w:r>
        <w:rPr>
          <w:rFonts w:ascii="宋体" w:hAnsi="宋体" w:cs="宋体"/>
          <w:spacing w:val="-2"/>
        </w:rPr>
        <w:t xml:space="preserve">示瞬时和累计流量、故障。测量传感器</w:t>
      </w:r>
      <w:r>
        <w:rPr>
          <w:rFonts w:ascii="宋体" w:hAnsi="宋体" w:cs="宋体"/>
        </w:rPr>
      </w:r>
      <w:r/>
    </w:p>
    <w:p>
      <w:pPr>
        <w:pStyle w:val="1011"/>
        <w:ind w:left="457"/>
        <w:spacing w:before="1" w:line="220" w:lineRule="auto"/>
        <w:rPr>
          <w:rFonts w:ascii="宋体" w:hAnsi="宋体" w:cs="宋体"/>
        </w:rPr>
      </w:pPr>
      <w:r>
        <w:rPr>
          <w:rFonts w:ascii="宋体" w:hAnsi="宋体" w:cs="宋体"/>
          <w:spacing w:val="-1"/>
        </w:rPr>
        <w:t xml:space="preserve">衬里材料：硬橡胶或PTFE</w:t>
      </w:r>
      <w:r>
        <w:rPr>
          <w:rFonts w:ascii="宋体" w:hAnsi="宋体" w:cs="宋体"/>
        </w:rPr>
      </w:r>
      <w:r/>
    </w:p>
    <w:p>
      <w:pPr>
        <w:pStyle w:val="1011"/>
        <w:ind w:left="456"/>
        <w:spacing w:before="189" w:line="221" w:lineRule="auto"/>
        <w:rPr>
          <w:rFonts w:ascii="宋体" w:hAnsi="宋体" w:cs="宋体"/>
        </w:rPr>
      </w:pPr>
      <w:r>
        <w:rPr>
          <w:rFonts w:ascii="宋体" w:hAnsi="宋体" w:cs="宋体"/>
          <w:spacing w:val="-2"/>
        </w:rPr>
        <w:t xml:space="preserve">4电极测量系统：测量电极、参比电极、空管检测电极</w:t>
      </w:r>
      <w:r>
        <w:rPr>
          <w:rFonts w:ascii="宋体" w:hAnsi="宋体" w:cs="宋体"/>
        </w:rPr>
      </w:r>
      <w:r/>
    </w:p>
    <w:p>
      <w:pPr>
        <w:pStyle w:val="1011"/>
        <w:ind w:left="481"/>
        <w:spacing w:before="189" w:line="221" w:lineRule="auto"/>
        <w:rPr>
          <w:rFonts w:ascii="宋体" w:hAnsi="宋体" w:cs="宋体"/>
        </w:rPr>
      </w:pPr>
      <w:r>
        <w:rPr>
          <w:rFonts w:ascii="宋体" w:hAnsi="宋体" w:cs="宋体"/>
          <w:spacing w:val="-4"/>
        </w:rPr>
        <w:t xml:space="preserve">电极材料：不锈钢</w:t>
      </w:r>
      <w:r>
        <w:rPr>
          <w:rFonts w:ascii="宋体" w:hAnsi="宋体" w:cs="宋体"/>
        </w:rPr>
      </w:r>
      <w:r/>
    </w:p>
    <w:p>
      <w:pPr>
        <w:pStyle w:val="1011"/>
        <w:ind w:left="481"/>
        <w:spacing w:before="188" w:line="221" w:lineRule="auto"/>
        <w:rPr>
          <w:rFonts w:ascii="宋体" w:hAnsi="宋体" w:cs="宋体"/>
        </w:rPr>
      </w:pPr>
      <w:r>
        <w:rPr>
          <w:rFonts w:ascii="宋体" w:hAnsi="宋体" w:cs="宋体"/>
          <w:spacing w:val="-2"/>
        </w:rPr>
        <w:t xml:space="preserve">电极形状：子弹头形状，可减少被测介质的干扰，保持数据长期稳定。</w:t>
      </w:r>
      <w:r>
        <w:rPr>
          <w:rFonts w:ascii="宋体" w:hAnsi="宋体" w:cs="宋体"/>
        </w:rPr>
      </w:r>
      <w:r/>
    </w:p>
    <w:p>
      <w:pPr>
        <w:pStyle w:val="1011"/>
        <w:ind w:left="461"/>
        <w:spacing w:before="189" w:line="221" w:lineRule="auto"/>
        <w:rPr>
          <w:rFonts w:ascii="宋体" w:hAnsi="宋体" w:cs="宋体"/>
        </w:rPr>
      </w:pPr>
      <w:r>
        <w:rPr>
          <w:rFonts w:ascii="宋体" w:hAnsi="宋体" w:cs="宋体"/>
          <w:spacing w:val="-1"/>
        </w:rPr>
        <w:t xml:space="preserve">安装形式：分体式，松套法兰连接，便于安装施工；</w:t>
      </w:r>
      <w:r>
        <w:rPr>
          <w:rFonts w:ascii="宋体" w:hAnsi="宋体" w:cs="宋体"/>
        </w:rPr>
      </w:r>
      <w:r/>
    </w:p>
    <w:p>
      <w:pPr>
        <w:pStyle w:val="1011"/>
        <w:ind w:left="481"/>
        <w:spacing w:before="190" w:line="218" w:lineRule="auto"/>
        <w:rPr>
          <w:rFonts w:ascii="宋体" w:hAnsi="宋体" w:cs="宋体"/>
        </w:rPr>
      </w:pPr>
      <w:r>
        <w:rPr>
          <w:rFonts w:ascii="宋体" w:hAnsi="宋体" w:cs="宋体"/>
          <w:spacing w:val="-5"/>
        </w:rPr>
        <w:t xml:space="preserve">电源：100、240VAC或24VAC/DC,宽电压供电型,适应现场各种条件；</w:t>
      </w:r>
      <w:r>
        <w:rPr>
          <w:rFonts w:ascii="宋体" w:hAnsi="宋体" w:cs="宋体"/>
        </w:rPr>
      </w:r>
      <w:r/>
    </w:p>
    <w:p>
      <w:pPr>
        <w:pStyle w:val="1011"/>
        <w:ind w:left="456"/>
        <w:spacing w:before="157" w:line="221" w:lineRule="auto"/>
        <w:rPr>
          <w:rFonts w:ascii="宋体" w:hAnsi="宋体" w:cs="宋体"/>
        </w:rPr>
      </w:pPr>
      <w:r>
        <w:rPr>
          <w:rFonts w:ascii="宋体" w:hAnsi="宋体" w:cs="宋体"/>
          <w:spacing w:val="-1"/>
        </w:rPr>
        <w:t xml:space="preserve">输出：4～20mADC、脉冲信号、故障信号；</w:t>
      </w:r>
      <w:r>
        <w:rPr>
          <w:rFonts w:ascii="宋体" w:hAnsi="宋体" w:cs="宋体"/>
        </w:rPr>
      </w:r>
      <w:r/>
    </w:p>
    <w:p>
      <w:pPr>
        <w:pStyle w:val="1011"/>
        <w:ind w:left="462"/>
        <w:spacing w:before="187" w:line="221" w:lineRule="auto"/>
        <w:rPr>
          <w:rFonts w:ascii="宋体" w:hAnsi="宋体" w:cs="宋体"/>
        </w:rPr>
      </w:pPr>
      <w:r>
        <w:rPr>
          <w:rFonts w:ascii="宋体" w:hAnsi="宋体" w:cs="宋体"/>
        </w:rPr>
        <w:t xml:space="preserve">智能技术：附带“beatheart”技术，自</w:t>
      </w:r>
      <w:r>
        <w:rPr>
          <w:rFonts w:ascii="宋体" w:hAnsi="宋体" w:cs="宋体"/>
          <w:spacing w:val="-1"/>
        </w:rPr>
        <w:t xml:space="preserve">校验，自诊断，自监测。</w:t>
      </w:r>
      <w:r>
        <w:rPr>
          <w:rFonts w:ascii="宋体" w:hAnsi="宋体" w:cs="宋体"/>
        </w:rPr>
      </w:r>
      <w:r/>
    </w:p>
    <w:p>
      <w:pPr>
        <w:pStyle w:val="1011"/>
        <w:ind w:left="463"/>
        <w:spacing w:before="190" w:line="221" w:lineRule="auto"/>
        <w:rPr>
          <w:rFonts w:ascii="宋体" w:hAnsi="宋体" w:cs="宋体"/>
        </w:rPr>
      </w:pPr>
      <w:r>
        <w:rPr>
          <w:rFonts w:hint="eastAsia" w:ascii="宋体" w:hAnsi="宋体" w:cs="宋体"/>
          <w:b/>
          <w:bCs/>
          <w:spacing w:val="-3"/>
        </w:rPr>
        <w:t xml:space="preserve">4</w:t>
      </w:r>
      <w:r>
        <w:rPr>
          <w:rFonts w:ascii="宋体" w:hAnsi="宋体" w:cs="宋体"/>
          <w:b/>
          <w:bCs/>
          <w:spacing w:val="-3"/>
        </w:rPr>
        <w:t xml:space="preserve">、设施设备安装使用等要求</w:t>
      </w:r>
      <w:r>
        <w:rPr>
          <w:rFonts w:ascii="宋体" w:hAnsi="宋体" w:cs="宋体"/>
        </w:rPr>
      </w:r>
      <w:r/>
    </w:p>
    <w:p>
      <w:pPr>
        <w:pStyle w:val="1011"/>
        <w:ind w:left="38" w:right="54" w:firstLine="419"/>
        <w:spacing w:before="187" w:line="387" w:lineRule="auto"/>
        <w:rPr>
          <w:rFonts w:ascii="宋体" w:hAnsi="宋体" w:cs="宋体"/>
        </w:rPr>
      </w:pPr>
      <w:r>
        <w:rPr>
          <w:rFonts w:ascii="宋体" w:hAnsi="宋体" w:cs="宋体"/>
          <w:spacing w:val="-1"/>
        </w:rPr>
        <w:t xml:space="preserve">供应商负责所有为完成本项目服务工作所需要的系统建设及设施设备安装调试、运营维护、维修以及</w:t>
      </w:r>
      <w:r>
        <w:rPr>
          <w:rFonts w:ascii="宋体" w:hAnsi="宋体" w:cs="宋体"/>
          <w:spacing w:val="-2"/>
        </w:rPr>
        <w:t xml:space="preserve">周边关系的协调等，采购单位给予协助，具体说明如下：</w:t>
      </w:r>
      <w:r>
        <w:rPr>
          <w:rFonts w:ascii="宋体" w:hAnsi="宋体" w:cs="宋体"/>
        </w:rPr>
      </w:r>
      <w:r/>
    </w:p>
    <w:p>
      <w:pPr>
        <w:pStyle w:val="1011"/>
        <w:ind w:left="39" w:right="64" w:firstLine="423"/>
        <w:spacing w:line="303" w:lineRule="auto"/>
        <w:rPr>
          <w:rFonts w:ascii="宋体" w:hAnsi="宋体" w:cs="宋体"/>
        </w:rPr>
      </w:pPr>
      <w:r>
        <w:rPr>
          <w:rFonts w:ascii="宋体" w:hAnsi="宋体" w:cs="宋体"/>
          <w:spacing w:val="1"/>
        </w:rPr>
        <w:t xml:space="preserve">（1）服务期限内，渗滤液调节池取水口开始至清水排放口中间所有的渗滤液处理设施及污水处理设</w:t>
      </w:r>
      <w:r>
        <w:rPr>
          <w:rFonts w:ascii="宋体" w:hAnsi="宋体" w:cs="宋体"/>
        </w:rPr>
        <w:t xml:space="preserve">备由供应商负责提供，含在投标报价之内。（场区已有设施设备能否利旧</w:t>
      </w:r>
      <w:r>
        <w:rPr>
          <w:rFonts w:ascii="宋体" w:hAnsi="宋体" w:cs="宋体"/>
          <w:spacing w:val="-1"/>
        </w:rPr>
        <w:t xml:space="preserve">，需供应商自行勘察现场）</w:t>
      </w:r>
      <w:r>
        <w:rPr>
          <w:rFonts w:ascii="宋体" w:hAnsi="宋体" w:cs="宋体"/>
        </w:rPr>
      </w:r>
      <w:r/>
    </w:p>
    <w:p>
      <w:pPr>
        <w:pStyle w:val="1011"/>
        <w:ind w:left="57" w:right="63" w:firstLine="405"/>
        <w:spacing w:before="188" w:line="305" w:lineRule="auto"/>
        <w:rPr>
          <w:rFonts w:ascii="宋体" w:hAnsi="宋体" w:cs="宋体"/>
        </w:rPr>
      </w:pPr>
      <w:r>
        <w:rPr>
          <w:rFonts w:ascii="宋体" w:hAnsi="宋体" w:cs="宋体"/>
          <w:spacing w:val="2"/>
        </w:rPr>
        <w:t xml:space="preserve">（2）本项目土地使用权已由采购人合法取</w:t>
      </w:r>
      <w:r>
        <w:rPr>
          <w:rFonts w:ascii="宋体" w:hAnsi="宋体" w:cs="宋体"/>
          <w:spacing w:val="1"/>
        </w:rPr>
        <w:t xml:space="preserve">得，施工期间的水电由采购人协调解决。未经采购人书面</w:t>
      </w:r>
      <w:r>
        <w:rPr>
          <w:rFonts w:ascii="宋体" w:hAnsi="宋体" w:cs="宋体"/>
          <w:spacing w:val="-1"/>
        </w:rPr>
        <w:t xml:space="preserve">同意，中标人不得变更土地用途，不得处分土地使用权，不得引入其他项目。</w:t>
      </w:r>
      <w:r>
        <w:rPr>
          <w:rFonts w:ascii="宋体" w:hAnsi="宋体" w:cs="宋体"/>
        </w:rPr>
      </w:r>
      <w:r/>
    </w:p>
    <w:p>
      <w:pPr>
        <w:pStyle w:val="1011"/>
        <w:ind w:left="38" w:right="65" w:firstLine="427"/>
        <w:spacing w:before="187" w:line="304" w:lineRule="auto"/>
        <w:rPr>
          <w:rFonts w:ascii="宋体" w:hAnsi="宋体" w:cs="宋体"/>
        </w:rPr>
      </w:pPr>
      <w:r>
        <w:rPr>
          <w:rFonts w:ascii="宋体" w:hAnsi="宋体" w:cs="宋体"/>
          <w:b/>
          <w:bCs/>
          <w:spacing w:val="-1"/>
        </w:rPr>
        <w:t xml:space="preserve">（3）供应商必须满足采购文件相关要求，提供详细的设备供货时间、安装调试周期及提供相应的服</w:t>
      </w:r>
      <w:r>
        <w:rPr>
          <w:rFonts w:ascii="宋体" w:hAnsi="宋体" w:cs="宋体"/>
          <w:b/>
          <w:bCs/>
          <w:spacing w:val="-9"/>
        </w:rPr>
        <w:t xml:space="preserve">务计划。</w:t>
      </w:r>
      <w:r>
        <w:rPr>
          <w:rFonts w:ascii="宋体" w:hAnsi="宋体" w:cs="宋体"/>
        </w:rPr>
      </w:r>
      <w:r/>
    </w:p>
    <w:p>
      <w:pPr>
        <w:pStyle w:val="1011"/>
        <w:ind w:left="37" w:right="54" w:firstLine="426"/>
        <w:spacing w:before="191" w:line="303" w:lineRule="auto"/>
        <w:rPr>
          <w:rFonts w:ascii="宋体" w:hAnsi="宋体" w:cs="宋体"/>
        </w:rPr>
      </w:pPr>
      <w:r>
        <w:rPr>
          <w:rFonts w:ascii="宋体" w:hAnsi="宋体" w:cs="宋体"/>
          <w:spacing w:val="2"/>
        </w:rPr>
        <w:t xml:space="preserve">（4）供应商须随采购人生产安排情况及时保证垃圾渗滤液处理</w:t>
      </w:r>
      <w:r>
        <w:rPr>
          <w:rFonts w:ascii="宋体" w:hAnsi="宋体" w:cs="宋体"/>
          <w:spacing w:val="1"/>
        </w:rPr>
        <w:t xml:space="preserve">及排放，并确保出水水质达到本项目</w:t>
      </w:r>
      <w:r>
        <w:rPr>
          <w:rFonts w:ascii="宋体" w:hAnsi="宋体" w:cs="宋体"/>
          <w:spacing w:val="-2"/>
        </w:rPr>
        <w:t xml:space="preserve">排放标准，</w:t>
      </w:r>
      <w:r>
        <w:rPr>
          <w:rFonts w:ascii="宋体" w:hAnsi="宋体" w:cs="宋体"/>
          <w:b/>
          <w:bCs/>
          <w:spacing w:val="-2"/>
        </w:rPr>
        <w:t xml:space="preserve">本项目要求设计工艺无浓缩液产生。</w:t>
      </w:r>
      <w:r>
        <w:rPr>
          <w:rFonts w:ascii="宋体" w:hAnsi="宋体" w:cs="宋体"/>
        </w:rPr>
      </w:r>
      <w:r/>
    </w:p>
    <w:p>
      <w:pPr>
        <w:pStyle w:val="1011"/>
        <w:ind w:left="35" w:right="54" w:firstLine="428"/>
        <w:spacing w:before="189" w:line="331" w:lineRule="auto"/>
        <w:rPr>
          <w:rFonts w:ascii="宋体" w:hAnsi="宋体" w:cs="宋体"/>
        </w:rPr>
      </w:pPr>
      <w:r>
        <w:rPr>
          <w:rFonts w:ascii="宋体" w:hAnsi="宋体" w:cs="宋体"/>
          <w:spacing w:val="2"/>
        </w:rPr>
        <w:t xml:space="preserve">（5）供应商渗滤液处理过程中不得产生次生环境污染，不得损</w:t>
      </w:r>
      <w:r>
        <w:rPr>
          <w:rFonts w:ascii="宋体" w:hAnsi="宋体" w:cs="宋体"/>
          <w:spacing w:val="1"/>
        </w:rPr>
        <w:t xml:space="preserve">坏填埋场已有的设备和设施，处理现</w:t>
      </w:r>
      <w:r>
        <w:rPr>
          <w:rFonts w:ascii="宋体" w:hAnsi="宋体" w:cs="宋体"/>
        </w:rPr>
        <w:t xml:space="preserve">场必须整洁美观有序。现有场地的情况由供应商</w:t>
      </w:r>
      <w:r>
        <w:rPr>
          <w:rFonts w:ascii="宋体" w:hAnsi="宋体" w:cs="宋体"/>
          <w:spacing w:val="-1"/>
        </w:rPr>
        <w:t xml:space="preserve">应自行勘察现场，如需清场或调整位置，则由供应商与采购方协商解决，涉及相关费用的，含在投标报价之内。</w:t>
      </w:r>
      <w:r>
        <w:rPr>
          <w:rFonts w:ascii="宋体" w:hAnsi="宋体" w:cs="宋体"/>
        </w:rPr>
      </w:r>
      <w:r/>
    </w:p>
    <w:p>
      <w:pPr>
        <w:pStyle w:val="1011"/>
        <w:ind w:left="35" w:right="54" w:firstLine="428"/>
        <w:spacing w:before="190" w:line="345" w:lineRule="auto"/>
        <w:rPr>
          <w:rFonts w:ascii="宋体" w:hAnsi="宋体" w:cs="宋体"/>
        </w:rPr>
      </w:pPr>
      <w:r>
        <w:rPr>
          <w:rFonts w:ascii="宋体" w:hAnsi="宋体" w:cs="宋体"/>
          <w:spacing w:val="2"/>
        </w:rPr>
        <w:t xml:space="preserve">（6）项目服务期间，如出现环保问题，如危废、固废等处置物</w:t>
      </w:r>
      <w:r>
        <w:rPr>
          <w:rFonts w:ascii="宋体" w:hAnsi="宋体" w:cs="宋体"/>
          <w:spacing w:val="1"/>
        </w:rPr>
        <w:t xml:space="preserve">，由供应商自行处理，处理标准须满</w:t>
      </w:r>
      <w:r>
        <w:rPr>
          <w:rFonts w:ascii="宋体" w:hAnsi="宋体" w:cs="宋体"/>
        </w:rPr>
        <w:t xml:space="preserve">足采购人及相关政策法规要求，费用含在投标</w:t>
      </w:r>
      <w:r>
        <w:rPr>
          <w:rFonts w:ascii="宋体" w:hAnsi="宋体" w:cs="宋体"/>
          <w:spacing w:val="-1"/>
        </w:rPr>
        <w:t xml:space="preserve">报价之内。渗滤液处置产生的废弃物（如脱水污泥等）由供</w:t>
      </w:r>
      <w:r>
        <w:rPr>
          <w:rFonts w:ascii="宋体" w:hAnsi="宋体" w:cs="宋体"/>
        </w:rPr>
        <w:t xml:space="preserve">应商负责合法合规处置（要求每周至少处理一次，</w:t>
      </w:r>
      <w:r>
        <w:rPr>
          <w:rFonts w:ascii="宋体" w:hAnsi="宋体" w:cs="宋体"/>
          <w:spacing w:val="-1"/>
        </w:rPr>
        <w:t xml:space="preserve">如有积存影响项目现场环境的，应按采购方规定及时处</w:t>
      </w:r>
      <w:r>
        <w:rPr>
          <w:rFonts w:ascii="宋体" w:hAnsi="宋体" w:cs="宋体"/>
        </w:rPr>
        <w:t xml:space="preserve">置），废弃物的临时存放点应合法合规，由供应商自行解决，费用包含在投标报价之</w:t>
      </w:r>
      <w:r>
        <w:rPr>
          <w:rFonts w:ascii="宋体" w:hAnsi="宋体" w:cs="宋体"/>
          <w:spacing w:val="-1"/>
        </w:rPr>
        <w:t xml:space="preserve">内。</w:t>
      </w:r>
      <w:r>
        <w:rPr>
          <w:rFonts w:ascii="宋体" w:hAnsi="宋体" w:cs="宋体"/>
        </w:rPr>
      </w:r>
      <w:r/>
    </w:p>
    <w:p>
      <w:pPr>
        <w:pStyle w:val="1011"/>
        <w:ind w:left="39" w:right="55" w:firstLine="423"/>
        <w:spacing w:before="192" w:line="331" w:lineRule="auto"/>
        <w:rPr>
          <w:rFonts w:ascii="宋体" w:hAnsi="宋体" w:cs="宋体"/>
        </w:rPr>
      </w:pPr>
      <w:r>
        <w:rPr>
          <w:rFonts w:ascii="宋体" w:hAnsi="宋体" w:cs="宋体"/>
          <w:spacing w:val="2"/>
        </w:rPr>
        <w:t xml:space="preserve">（7）供应商在提供服务期间，必须严格按照渗滤液处理设备</w:t>
      </w:r>
      <w:r>
        <w:rPr>
          <w:rFonts w:ascii="宋体" w:hAnsi="宋体" w:cs="宋体"/>
          <w:spacing w:val="1"/>
        </w:rPr>
        <w:t xml:space="preserve">安全操作规程进行操作，确保出水达到</w:t>
      </w:r>
      <w:r>
        <w:rPr>
          <w:rFonts w:ascii="宋体" w:hAnsi="宋体" w:cs="宋体"/>
          <w:spacing w:val="-1"/>
        </w:rPr>
        <w:t xml:space="preserve">设计标准；并保证现场人员的人身安全，确保合同履约期间无安全事故发生。如因措施不当、管理疏漏等</w:t>
      </w:r>
      <w:r>
        <w:rPr>
          <w:rFonts w:ascii="宋体" w:hAnsi="宋体" w:cs="宋体"/>
        </w:rPr>
        <w:t xml:space="preserve">各种原因，造成任何人的人身或财产损害的，由供应商承担所有</w:t>
      </w:r>
      <w:r>
        <w:rPr>
          <w:rFonts w:ascii="宋体" w:hAnsi="宋体" w:cs="宋体"/>
          <w:spacing w:val="-1"/>
        </w:rPr>
        <w:t xml:space="preserve">责任和损失。</w:t>
      </w:r>
      <w:r>
        <w:rPr>
          <w:rFonts w:ascii="宋体" w:hAnsi="宋体" w:cs="宋体"/>
        </w:rPr>
      </w:r>
      <w:r/>
    </w:p>
    <w:p>
      <w:pPr>
        <w:pStyle w:val="1011"/>
        <w:ind w:left="37" w:right="53" w:firstLine="425"/>
        <w:spacing w:before="192" w:line="345" w:lineRule="auto"/>
        <w:rPr>
          <w:rFonts w:ascii="宋体" w:hAnsi="宋体" w:cs="宋体"/>
        </w:rPr>
      </w:pPr>
      <w:r>
        <w:rPr>
          <w:rFonts w:ascii="宋体" w:hAnsi="宋体" w:cs="宋体"/>
          <w:spacing w:val="2"/>
        </w:rPr>
        <w:t xml:space="preserve">（8）供应商必须遵守主管部门制订的相关渗滤液处理运营管理</w:t>
      </w:r>
      <w:r>
        <w:rPr>
          <w:rFonts w:ascii="宋体" w:hAnsi="宋体" w:cs="宋体"/>
          <w:spacing w:val="1"/>
        </w:rPr>
        <w:t xml:space="preserve">制度，服从采购方管理人员检查和监</w:t>
      </w:r>
      <w:r>
        <w:rPr>
          <w:rFonts w:ascii="宋体" w:hAnsi="宋体" w:cs="宋体"/>
          <w:spacing w:val="-1"/>
        </w:rPr>
        <w:t xml:space="preserve">督，详实记录渗滤液处理的运行日志、水位等监测记录</w:t>
      </w:r>
      <w:r>
        <w:rPr>
          <w:rFonts w:ascii="宋体" w:hAnsi="宋体" w:cs="宋体"/>
          <w:spacing w:val="-2"/>
        </w:rPr>
        <w:t xml:space="preserve">、维修记录、排放记录等，并于每月 15日前将上</w:t>
      </w:r>
      <w:r>
        <w:rPr>
          <w:rFonts w:ascii="宋体" w:hAnsi="宋体" w:cs="宋体"/>
          <w:spacing w:val="-1"/>
        </w:rPr>
        <w:t xml:space="preserve">月运行记录、每月 28日前将下月运营计划报送采购方</w:t>
      </w:r>
      <w:r>
        <w:rPr>
          <w:rFonts w:ascii="宋体" w:hAnsi="宋体" w:cs="宋体"/>
          <w:spacing w:val="-2"/>
        </w:rPr>
        <w:t xml:space="preserve">，待合同期满后将全部资料纪录整理造册移交采购</w:t>
      </w:r>
      <w:r>
        <w:rPr>
          <w:rFonts w:ascii="宋体" w:hAnsi="宋体" w:cs="宋体"/>
        </w:rPr>
        <w:t xml:space="preserve">方。在服务期内，供应商有义务配合采购方做好上级部门的监督检查工作，并提供相关</w:t>
      </w:r>
      <w:r>
        <w:rPr>
          <w:rFonts w:ascii="宋体" w:hAnsi="宋体" w:cs="宋体"/>
          <w:spacing w:val="-1"/>
        </w:rPr>
        <w:t xml:space="preserve">材料。</w:t>
      </w:r>
      <w:r>
        <w:rPr>
          <w:rFonts w:ascii="宋体" w:hAnsi="宋体" w:cs="宋体"/>
        </w:rPr>
      </w:r>
      <w:r/>
    </w:p>
    <w:p>
      <w:pPr>
        <w:pStyle w:val="1011"/>
        <w:ind w:left="36" w:firstLine="427"/>
        <w:spacing w:before="189" w:line="345" w:lineRule="auto"/>
        <w:rPr>
          <w:rFonts w:ascii="宋体" w:hAnsi="宋体" w:cs="宋体"/>
        </w:rPr>
      </w:pPr>
      <w:r>
        <w:rPr>
          <w:rFonts w:ascii="宋体" w:hAnsi="宋体" w:cs="宋体"/>
          <w:spacing w:val="2"/>
        </w:rPr>
        <w:t xml:space="preserve">（9）针对雨季、台风暴雨等恶劣天气以及渗滤液处理量增加、</w:t>
      </w:r>
      <w:r>
        <w:rPr>
          <w:rFonts w:ascii="宋体" w:hAnsi="宋体" w:cs="宋体"/>
          <w:spacing w:val="1"/>
        </w:rPr>
        <w:t xml:space="preserve">渗滤液溢出或其他环境污染等突发事</w:t>
      </w:r>
      <w:r>
        <w:rPr>
          <w:rFonts w:ascii="宋体" w:hAnsi="宋体" w:cs="宋体"/>
          <w:spacing w:val="-1"/>
        </w:rPr>
        <w:t xml:space="preserve">件，供应商要制订相应的应急预案，并积极配合采购方有效地实施应对措施。</w:t>
      </w:r>
      <w:r>
        <w:rPr>
          <w:rFonts w:ascii="宋体" w:hAnsi="宋体" w:cs="宋体"/>
          <w:b/>
          <w:bCs/>
          <w:spacing w:val="-1"/>
        </w:rPr>
        <w:t xml:space="preserve">当遇到</w:t>
      </w:r>
      <w:r>
        <w:rPr>
          <w:rFonts w:ascii="宋体" w:hAnsi="宋体" w:cs="宋体"/>
          <w:b/>
          <w:bCs/>
          <w:spacing w:val="-2"/>
        </w:rPr>
        <w:t xml:space="preserve">渗滤液量增加时，供</w:t>
      </w:r>
      <w:r>
        <w:rPr>
          <w:rFonts w:ascii="宋体" w:hAnsi="宋体" w:cs="宋体"/>
          <w:b/>
          <w:bCs/>
          <w:spacing w:val="-4"/>
        </w:rPr>
        <w:t xml:space="preserve">应商应在接到业主单位通知后，无条件启动应急预案，确保在</w:t>
      </w:r>
      <w:r>
        <w:rPr>
          <w:rFonts w:ascii="Times New Roman" w:hAnsi="Times New Roman" w:eastAsia="Times New Roman" w:cs="Times New Roman"/>
          <w:b/>
          <w:bCs/>
          <w:spacing w:val="-4"/>
        </w:rPr>
        <w:t xml:space="preserve">10</w:t>
      </w:r>
      <w:r>
        <w:rPr>
          <w:rFonts w:ascii="宋体" w:hAnsi="宋体" w:cs="宋体"/>
          <w:b/>
          <w:bCs/>
          <w:spacing w:val="-4"/>
        </w:rPr>
        <w:t xml:space="preserve">天内增加至</w:t>
      </w:r>
      <w:r>
        <w:rPr>
          <w:rFonts w:ascii="Times New Roman" w:hAnsi="Times New Roman" w:eastAsia="Times New Roman" w:cs="Times New Roman"/>
          <w:b/>
          <w:bCs/>
          <w:spacing w:val="-4"/>
        </w:rPr>
        <w:t xml:space="preserve">100</w:t>
      </w:r>
      <w:r>
        <w:rPr>
          <w:rFonts w:ascii="宋体" w:hAnsi="宋体" w:cs="宋体"/>
          <w:b/>
          <w:bCs/>
          <w:spacing w:val="-4"/>
        </w:rPr>
        <w:t xml:space="preserve">吨</w:t>
      </w:r>
      <w:r>
        <w:rPr>
          <w:rFonts w:ascii="Times New Roman" w:hAnsi="Times New Roman" w:eastAsia="Times New Roman" w:cs="Times New Roman"/>
          <w:b/>
          <w:bCs/>
          <w:spacing w:val="-4"/>
        </w:rPr>
        <w:t xml:space="preserve">/</w:t>
      </w:r>
      <w:r>
        <w:rPr>
          <w:rFonts w:ascii="宋体" w:hAnsi="宋体" w:cs="宋体"/>
          <w:b/>
          <w:bCs/>
          <w:spacing w:val="-4"/>
        </w:rPr>
        <w:t xml:space="preserve">天的渗滤液处理量，以满足现场所有渗滤液的有效处理。</w:t>
      </w:r>
      <w:r>
        <w:rPr>
          <w:rFonts w:ascii="宋体" w:hAnsi="宋体" w:cs="宋体"/>
        </w:rPr>
      </w:r>
      <w:r/>
    </w:p>
    <w:p>
      <w:pPr>
        <w:pStyle w:val="1011"/>
        <w:ind w:left="458"/>
        <w:spacing w:before="188" w:line="221" w:lineRule="auto"/>
        <w:rPr>
          <w:rFonts w:ascii="宋体" w:hAnsi="宋体" w:cs="宋体"/>
        </w:rPr>
      </w:pPr>
      <w:r>
        <w:rPr>
          <w:rFonts w:hint="eastAsia" w:ascii="宋体" w:hAnsi="宋体" w:cs="宋体"/>
          <w:b/>
          <w:bCs/>
          <w:spacing w:val="-4"/>
        </w:rPr>
        <w:t xml:space="preserve">5</w:t>
      </w:r>
      <w:r>
        <w:rPr>
          <w:rFonts w:ascii="宋体" w:hAnsi="宋体" w:cs="宋体"/>
          <w:b/>
          <w:bCs/>
          <w:spacing w:val="-4"/>
        </w:rPr>
        <w:t xml:space="preserve">、技术要求</w:t>
      </w:r>
      <w:r>
        <w:rPr>
          <w:rFonts w:ascii="宋体" w:hAnsi="宋体" w:cs="宋体"/>
        </w:rPr>
      </w:r>
      <w:r/>
    </w:p>
    <w:p>
      <w:pPr>
        <w:pStyle w:val="1011"/>
        <w:ind w:left="38" w:right="57" w:firstLine="424"/>
        <w:spacing w:before="189" w:line="388" w:lineRule="auto"/>
        <w:rPr>
          <w:rFonts w:ascii="宋体" w:hAnsi="宋体" w:cs="宋体"/>
        </w:rPr>
      </w:pPr>
      <w:r>
        <w:rPr>
          <w:rFonts w:ascii="宋体" w:hAnsi="宋体" w:cs="宋体"/>
          <w:spacing w:val="2"/>
        </w:rPr>
        <w:t xml:space="preserve">（1）处理工艺必须达到要求的处理能力和处理效果，出水</w:t>
      </w:r>
      <w:r>
        <w:rPr>
          <w:rFonts w:ascii="宋体" w:hAnsi="宋体" w:cs="宋体"/>
          <w:spacing w:val="1"/>
        </w:rPr>
        <w:t xml:space="preserve">须符合设计标准、国家关于环境保护的政</w:t>
      </w:r>
      <w:r>
        <w:rPr>
          <w:rFonts w:ascii="宋体" w:hAnsi="宋体" w:cs="宋体"/>
          <w:spacing w:val="-1"/>
        </w:rPr>
        <w:t xml:space="preserve">策，符合国家有关法规、规范及标准。项目中标后，中标单位的实施方案及图纸资料等采购方有权聘请专</w:t>
      </w:r>
      <w:r>
        <w:rPr>
          <w:rFonts w:ascii="宋体" w:hAnsi="宋体" w:cs="宋体"/>
        </w:rPr>
      </w:r>
      <w:r/>
    </w:p>
    <w:p>
      <w:pPr>
        <w:pStyle w:val="1011"/>
        <w:spacing w:line="388" w:lineRule="auto"/>
        <w:rPr>
          <w:rFonts w:ascii="宋体" w:hAnsi="宋体" w:cs="宋体"/>
        </w:rPr>
        <w:sectPr>
          <w:headerReference w:type="default" r:id="rId22"/>
          <w:footnotePr/>
          <w:endnotePr/>
          <w:type w:val="nextPage"/>
          <w:pgSz w:w="11907" w:h="16839" w:orient="portrait"/>
          <w:pgMar w:top="921" w:right="1075" w:bottom="676" w:left="1104" w:header="601" w:footer="511" w:gutter="0"/>
          <w:cols w:num="1" w:sep="0" w:space="720" w:equalWidth="1"/>
          <w:docGrid w:linePitch="360"/>
        </w:sectPr>
      </w:pPr>
      <w:r>
        <w:rPr>
          <w:rFonts w:ascii="宋体" w:hAnsi="宋体" w:cs="宋体"/>
        </w:rPr>
      </w:r>
      <w:r/>
    </w:p>
    <w:p>
      <w:pPr>
        <w:pStyle w:val="1011"/>
        <w:ind w:left="38"/>
        <w:spacing w:before="156" w:line="220" w:lineRule="auto"/>
        <w:rPr>
          <w:rFonts w:ascii="宋体" w:hAnsi="宋体" w:cs="宋体"/>
        </w:rPr>
      </w:pPr>
      <w:r>
        <w:rPr>
          <w:rFonts w:ascii="宋体" w:hAnsi="宋体" w:cs="宋体"/>
        </w:rPr>
        <w:t xml:space="preserve">家进行评审论证，经专家评审后如有涉及相关调整的，费用均包含在投标报</w:t>
      </w:r>
      <w:r>
        <w:rPr>
          <w:rFonts w:ascii="宋体" w:hAnsi="宋体" w:cs="宋体"/>
          <w:spacing w:val="-1"/>
        </w:rPr>
        <w:t xml:space="preserve">价之内。</w:t>
      </w:r>
      <w:r>
        <w:rPr>
          <w:rFonts w:ascii="宋体" w:hAnsi="宋体" w:cs="宋体"/>
        </w:rPr>
      </w:r>
      <w:r/>
    </w:p>
    <w:p>
      <w:pPr>
        <w:pStyle w:val="1011"/>
        <w:ind w:left="35" w:right="57" w:firstLine="428"/>
        <w:spacing w:before="190" w:line="345" w:lineRule="auto"/>
        <w:rPr>
          <w:rFonts w:ascii="宋体" w:hAnsi="宋体" w:cs="宋体"/>
        </w:rPr>
      </w:pPr>
      <w:r>
        <w:rPr>
          <w:rFonts w:ascii="宋体" w:hAnsi="宋体" w:cs="宋体"/>
          <w:spacing w:val="2"/>
        </w:rPr>
        <w:t xml:space="preserve">（2）根据垃圾渗滤液中污染物浓度高，水质水量多变的特点，</w:t>
      </w:r>
      <w:r>
        <w:rPr>
          <w:rFonts w:ascii="宋体" w:hAnsi="宋体" w:cs="宋体"/>
          <w:spacing w:val="1"/>
        </w:rPr>
        <w:t xml:space="preserve">提出技术先进、工艺可靠及经济合理</w:t>
      </w:r>
      <w:r>
        <w:rPr>
          <w:rFonts w:ascii="宋体" w:hAnsi="宋体" w:cs="宋体"/>
        </w:rPr>
        <w:t xml:space="preserve">的工艺。选取的工艺必须有较强的适应性和操作</w:t>
      </w:r>
      <w:r>
        <w:rPr>
          <w:rFonts w:ascii="宋体" w:hAnsi="宋体" w:cs="宋体"/>
          <w:spacing w:val="-1"/>
        </w:rPr>
        <w:t xml:space="preserve">上的灵活性，具有一定的抗冲击负荷能力，并且能够容易</w:t>
      </w:r>
      <w:r>
        <w:rPr>
          <w:rFonts w:ascii="宋体" w:hAnsi="宋体" w:cs="宋体"/>
        </w:rPr>
        <w:t xml:space="preserve">进行调整，以适应水质及水量的变化。本项目宜</w:t>
      </w:r>
      <w:r>
        <w:rPr>
          <w:rFonts w:ascii="宋体" w:hAnsi="宋体" w:cs="宋体"/>
          <w:spacing w:val="-1"/>
        </w:rPr>
        <w:t xml:space="preserve">采用无易燃易爆安全隐患的工艺流程处理，具体处理工艺</w:t>
      </w:r>
      <w:r>
        <w:rPr>
          <w:rFonts w:ascii="宋体" w:hAnsi="宋体" w:cs="宋体"/>
          <w:spacing w:val="-2"/>
        </w:rPr>
        <w:t xml:space="preserve">不限，但要求无浓缩液产生。</w:t>
      </w:r>
      <w:r>
        <w:rPr>
          <w:rFonts w:ascii="宋体" w:hAnsi="宋体" w:cs="宋体"/>
        </w:rPr>
      </w:r>
      <w:r/>
    </w:p>
    <w:p>
      <w:pPr>
        <w:pStyle w:val="1011"/>
        <w:ind w:left="463"/>
        <w:spacing w:before="190" w:line="221" w:lineRule="auto"/>
        <w:rPr>
          <w:rFonts w:ascii="宋体" w:hAnsi="宋体" w:cs="宋体"/>
        </w:rPr>
      </w:pPr>
      <w:r>
        <w:rPr>
          <w:rFonts w:ascii="宋体" w:hAnsi="宋体" w:cs="宋体"/>
          <w:spacing w:val="-1"/>
        </w:rPr>
        <w:t xml:space="preserve">（3）运行管理方便，操作维护简单，在保证处理效果的前提下，优先考虑全自动处置工艺。</w:t>
      </w:r>
      <w:r>
        <w:rPr>
          <w:rFonts w:ascii="宋体" w:hAnsi="宋体" w:cs="宋体"/>
        </w:rPr>
      </w:r>
      <w:r/>
    </w:p>
    <w:p>
      <w:pPr>
        <w:pStyle w:val="1011"/>
        <w:ind w:left="463"/>
        <w:spacing w:before="187" w:line="221" w:lineRule="auto"/>
        <w:rPr>
          <w:rFonts w:ascii="宋体" w:hAnsi="宋体" w:cs="宋体"/>
        </w:rPr>
      </w:pPr>
      <w:r>
        <w:rPr>
          <w:rFonts w:ascii="宋体" w:hAnsi="宋体" w:cs="宋体"/>
          <w:spacing w:val="-1"/>
        </w:rPr>
        <w:t xml:space="preserve">（4）处理过程中不能产生二次污染，尽可能采用污泥量少、噪音低的处理设施。</w:t>
      </w:r>
      <w:r>
        <w:rPr>
          <w:rFonts w:ascii="宋体" w:hAnsi="宋体" w:cs="宋体"/>
        </w:rPr>
      </w:r>
      <w:r/>
    </w:p>
    <w:p>
      <w:pPr>
        <w:pStyle w:val="1011"/>
        <w:ind w:left="42" w:right="68" w:firstLine="421"/>
        <w:spacing w:before="188" w:line="305" w:lineRule="auto"/>
        <w:rPr>
          <w:rFonts w:ascii="宋体" w:hAnsi="宋体" w:cs="宋体"/>
        </w:rPr>
      </w:pPr>
      <w:r>
        <w:rPr>
          <w:rFonts w:ascii="宋体" w:hAnsi="宋体" w:cs="宋体"/>
          <w:spacing w:val="1"/>
        </w:rPr>
        <w:t xml:space="preserve">（5）在渗滤液处理站占地面积及电力供应有限的情况下，尽量采用占地面积少、能耗低的工艺。有</w:t>
      </w:r>
      <w:r>
        <w:rPr>
          <w:rFonts w:ascii="宋体" w:hAnsi="宋体" w:cs="宋体"/>
          <w:spacing w:val="-2"/>
        </w:rPr>
        <w:t xml:space="preserve">效、合理地使用占地面积，提高土地利用率。</w:t>
      </w:r>
      <w:r>
        <w:rPr>
          <w:rFonts w:ascii="宋体" w:hAnsi="宋体" w:cs="宋体"/>
        </w:rPr>
      </w:r>
      <w:r/>
    </w:p>
    <w:p>
      <w:pPr>
        <w:pStyle w:val="1011"/>
        <w:ind w:left="40" w:firstLine="423"/>
        <w:spacing w:before="190" w:line="345" w:lineRule="auto"/>
        <w:rPr>
          <w:rFonts w:ascii="宋体" w:hAnsi="宋体" w:cs="宋体"/>
        </w:rPr>
      </w:pPr>
      <w:r>
        <w:rPr>
          <w:rFonts w:ascii="宋体" w:hAnsi="宋体" w:cs="宋体"/>
          <w:spacing w:val="1"/>
        </w:rPr>
        <w:t xml:space="preserve">（6）在设计正常工况条件下，系统设备的负荷能力、备用率及备用生产线的选择配置应保证：设备</w:t>
      </w:r>
      <w:r>
        <w:rPr>
          <w:rFonts w:ascii="宋体" w:hAnsi="宋体" w:cs="宋体"/>
          <w:spacing w:val="-1"/>
        </w:rPr>
        <w:t xml:space="preserve">不能长时间在 100%满负荷或超负荷条件下运行。除</w:t>
      </w:r>
      <w:r>
        <w:rPr>
          <w:rFonts w:ascii="宋体" w:hAnsi="宋体" w:cs="宋体"/>
          <w:spacing w:val="-2"/>
        </w:rPr>
        <w:t xml:space="preserve">特殊要求外，应至少留有 10%的余量；除特殊要求外，</w:t>
      </w:r>
      <w:r>
        <w:rPr>
          <w:rFonts w:ascii="宋体" w:hAnsi="宋体" w:cs="宋体"/>
          <w:spacing w:val="-1"/>
        </w:rPr>
        <w:t xml:space="preserve">设备的备用率的选择应保证全套工艺系统连续稳定运行，不会因某台设备的故障造成全套系统或相对独立的某个子工艺系统（处理单元）完全停运或造成跑、冒、溢流等问题发生。</w:t>
      </w:r>
      <w:r>
        <w:rPr>
          <w:rFonts w:ascii="宋体" w:hAnsi="宋体" w:cs="宋体"/>
        </w:rPr>
      </w:r>
      <w:r/>
    </w:p>
    <w:p>
      <w:pPr>
        <w:pStyle w:val="1011"/>
        <w:ind w:left="38" w:right="67" w:firstLine="424"/>
        <w:spacing w:before="187" w:line="305" w:lineRule="auto"/>
        <w:rPr>
          <w:rFonts w:ascii="宋体" w:hAnsi="宋体" w:cs="宋体"/>
        </w:rPr>
      </w:pPr>
      <w:r>
        <w:rPr>
          <w:rFonts w:ascii="宋体" w:hAnsi="宋体" w:cs="宋体"/>
          <w:spacing w:val="1"/>
        </w:rPr>
        <w:t xml:space="preserve">（7）要求工艺设计成熟、先进、可靠，流程应合理、性价比高，符合环保、节能、除臭、降噪、卫</w:t>
      </w:r>
      <w:r>
        <w:rPr>
          <w:rFonts w:ascii="宋体" w:hAnsi="宋体" w:cs="宋体"/>
          <w:spacing w:val="-1"/>
        </w:rPr>
        <w:t xml:space="preserve">生、美观要求；操作全自动，满足水量水质变化的要求。</w:t>
      </w:r>
      <w:r>
        <w:rPr>
          <w:rFonts w:ascii="宋体" w:hAnsi="宋体" w:cs="宋体"/>
        </w:rPr>
      </w:r>
      <w:r/>
    </w:p>
    <w:p>
      <w:pPr>
        <w:pStyle w:val="1011"/>
        <w:ind w:left="34" w:right="57" w:firstLine="428"/>
        <w:spacing w:before="188" w:line="344" w:lineRule="auto"/>
        <w:rPr>
          <w:rFonts w:ascii="宋体" w:hAnsi="宋体" w:cs="宋体"/>
        </w:rPr>
      </w:pPr>
      <w:r>
        <w:rPr>
          <w:rFonts w:ascii="宋体" w:hAnsi="宋体" w:cs="宋体"/>
          <w:spacing w:val="-3"/>
        </w:rPr>
        <w:t xml:space="preserve">（8）出水水质应能长期稳定应满足《生活垃圾填埋场污染控制标准》（</w:t>
      </w:r>
      <w:r>
        <w:rPr>
          <w:rFonts w:hint="eastAsia" w:ascii="宋体" w:hAnsi="宋体" w:cs="宋体"/>
          <w:color w:val="000000"/>
        </w:rPr>
        <w:t xml:space="preserve">GB 16889-2024</w:t>
      </w:r>
      <w:r>
        <w:rPr>
          <w:rFonts w:hint="eastAsia" w:ascii="宋体" w:hAnsi="宋体" w:cs="宋体"/>
          <w:color w:val="000000"/>
          <w:spacing w:val="-1"/>
        </w:rPr>
        <w:t xml:space="preserve">）</w:t>
      </w:r>
      <w:r>
        <w:rPr>
          <w:rFonts w:ascii="宋体" w:hAnsi="宋体" w:cs="宋体"/>
          <w:spacing w:val="-4"/>
        </w:rPr>
        <w:t xml:space="preserve">中“表2  现</w:t>
      </w:r>
      <w:r>
        <w:rPr>
          <w:rFonts w:ascii="宋体" w:hAnsi="宋体" w:cs="宋体"/>
          <w:spacing w:val="2"/>
        </w:rPr>
        <w:t xml:space="preserve">有和新建生活垃圾填埋场水污染物排放质量浓度限</w:t>
      </w:r>
      <w:r>
        <w:rPr>
          <w:rFonts w:ascii="宋体" w:hAnsi="宋体" w:cs="宋体"/>
          <w:spacing w:val="1"/>
        </w:rPr>
        <w:t xml:space="preserve">值”的要求，其中溶解性总固体（</w:t>
      </w:r>
      <w:r>
        <w:rPr>
          <w:rFonts w:ascii="宋体" w:hAnsi="宋体" w:cs="宋体"/>
        </w:rPr>
        <w:t xml:space="preserve">TDS</w:t>
      </w:r>
      <w:r>
        <w:rPr>
          <w:rFonts w:ascii="宋体" w:hAnsi="宋体" w:cs="宋体"/>
          <w:spacing w:val="1"/>
        </w:rPr>
        <w:t xml:space="preserve">）应满足《污水</w:t>
      </w:r>
      <w:r>
        <w:rPr>
          <w:rFonts w:ascii="宋体" w:hAnsi="宋体" w:cs="宋体"/>
          <w:spacing w:val="-5"/>
        </w:rPr>
        <w:t xml:space="preserve">排入城镇下水道水质标准》(GB/T31962-2015)中“表1  污水排入城镇下水道水质等级标准（最高允许值，</w:t>
      </w:r>
      <w:r>
        <w:rPr>
          <w:rFonts w:ascii="宋体" w:hAnsi="宋体" w:cs="宋体"/>
          <w:spacing w:val="-1"/>
        </w:rPr>
        <w:t xml:space="preserve">pH值除外）”中C等级标准的要求。</w:t>
      </w:r>
      <w:r>
        <w:rPr>
          <w:rFonts w:ascii="宋体" w:hAnsi="宋体" w:cs="宋体"/>
        </w:rPr>
      </w:r>
      <w:r/>
    </w:p>
    <w:p>
      <w:pPr>
        <w:pStyle w:val="1011"/>
        <w:ind w:left="463"/>
        <w:spacing w:before="193" w:line="221" w:lineRule="auto"/>
        <w:rPr>
          <w:rFonts w:ascii="宋体" w:hAnsi="宋体" w:cs="宋体"/>
        </w:rPr>
      </w:pPr>
      <w:r>
        <w:rPr>
          <w:rFonts w:ascii="宋体" w:hAnsi="宋体" w:cs="宋体"/>
          <w:spacing w:val="-2"/>
        </w:rPr>
        <w:t xml:space="preserve">（9）具有很强的有机污染物去除能力，有效降低出水COD指标。</w:t>
      </w:r>
      <w:r>
        <w:rPr>
          <w:rFonts w:ascii="宋体" w:hAnsi="宋体" w:cs="宋体"/>
        </w:rPr>
      </w:r>
      <w:r/>
    </w:p>
    <w:p>
      <w:pPr>
        <w:pStyle w:val="1011"/>
        <w:ind w:left="463"/>
        <w:spacing w:before="191" w:line="221" w:lineRule="auto"/>
        <w:rPr>
          <w:rFonts w:ascii="宋体" w:hAnsi="宋体" w:cs="宋体"/>
        </w:rPr>
      </w:pPr>
      <w:r>
        <w:rPr>
          <w:rFonts w:ascii="宋体" w:hAnsi="宋体" w:cs="宋体"/>
          <w:spacing w:val="-1"/>
        </w:rPr>
        <w:t xml:space="preserve">（10）具有高效稳定的TN去除能力，有效降低出水NH3-N、TN指标；经济合理</w:t>
      </w:r>
      <w:r>
        <w:rPr>
          <w:rFonts w:ascii="宋体" w:hAnsi="宋体" w:cs="宋体"/>
          <w:spacing w:val="-2"/>
        </w:rPr>
        <w:t xml:space="preserve">，节能降耗。</w:t>
      </w:r>
      <w:r>
        <w:rPr>
          <w:rFonts w:ascii="宋体" w:hAnsi="宋体" w:cs="宋体"/>
        </w:rPr>
      </w:r>
      <w:r/>
    </w:p>
    <w:p>
      <w:pPr>
        <w:pStyle w:val="1011"/>
        <w:ind w:left="464"/>
        <w:spacing w:before="188" w:line="221" w:lineRule="auto"/>
        <w:rPr>
          <w:rFonts w:ascii="宋体" w:hAnsi="宋体" w:cs="宋体"/>
        </w:rPr>
      </w:pPr>
      <w:r>
        <w:rPr>
          <w:rFonts w:ascii="宋体" w:hAnsi="宋体" w:cs="宋体"/>
          <w:spacing w:val="-2"/>
        </w:rPr>
        <w:t xml:space="preserve">（11）垃圾渗滤液处理系统，净水产水率不低于100%。</w:t>
      </w:r>
      <w:r>
        <w:rPr>
          <w:rFonts w:ascii="宋体" w:hAnsi="宋体" w:cs="宋体"/>
        </w:rPr>
      </w:r>
      <w:r/>
    </w:p>
    <w:p>
      <w:pPr>
        <w:pStyle w:val="1011"/>
        <w:ind w:left="464"/>
        <w:spacing w:before="187" w:line="221" w:lineRule="auto"/>
        <w:rPr>
          <w:rFonts w:ascii="宋体" w:hAnsi="宋体" w:cs="宋体"/>
        </w:rPr>
      </w:pPr>
      <w:r>
        <w:rPr>
          <w:rFonts w:ascii="宋体" w:hAnsi="宋体" w:cs="宋体"/>
          <w:spacing w:val="-1"/>
        </w:rPr>
        <w:t xml:space="preserve">（12）充分考虑渗滤液的腐蚀性，应采用高防腐性能的设备及管道材料。</w:t>
      </w:r>
      <w:r>
        <w:rPr>
          <w:rFonts w:ascii="宋体" w:hAnsi="宋体" w:cs="宋体"/>
        </w:rPr>
      </w:r>
      <w:r/>
    </w:p>
    <w:p>
      <w:pPr>
        <w:pStyle w:val="1011"/>
        <w:ind w:left="463"/>
        <w:spacing w:before="190" w:line="221" w:lineRule="auto"/>
        <w:rPr>
          <w:rFonts w:ascii="宋体" w:hAnsi="宋体" w:cs="宋体"/>
        </w:rPr>
      </w:pPr>
      <w:r>
        <w:rPr>
          <w:rFonts w:hint="eastAsia" w:ascii="宋体" w:hAnsi="宋体" w:cs="宋体"/>
          <w:b/>
          <w:bCs/>
          <w:spacing w:val="-4"/>
        </w:rPr>
        <w:t xml:space="preserve">6</w:t>
      </w:r>
      <w:r>
        <w:rPr>
          <w:rFonts w:ascii="宋体" w:hAnsi="宋体" w:cs="宋体"/>
          <w:b/>
          <w:bCs/>
          <w:spacing w:val="-4"/>
        </w:rPr>
        <w:t xml:space="preserve">、项目服务成果要求</w:t>
      </w:r>
      <w:r>
        <w:rPr>
          <w:rFonts w:ascii="宋体" w:hAnsi="宋体" w:cs="宋体"/>
        </w:rPr>
      </w:r>
      <w:r/>
    </w:p>
    <w:p>
      <w:pPr>
        <w:pStyle w:val="1011"/>
        <w:ind w:left="36" w:right="81" w:firstLine="426"/>
        <w:spacing w:before="186" w:line="304" w:lineRule="auto"/>
        <w:rPr>
          <w:rFonts w:ascii="宋体" w:hAnsi="宋体" w:cs="宋体"/>
        </w:rPr>
      </w:pPr>
      <w:r>
        <w:rPr>
          <w:rFonts w:ascii="宋体" w:hAnsi="宋体" w:cs="宋体"/>
          <w:spacing w:val="1"/>
        </w:rPr>
        <w:t xml:space="preserve">（1）项目设计及设备安装符合国家规定的设计标准和规范，保质保量完成项目工作内容，解决横扇</w:t>
      </w:r>
      <w:r>
        <w:rPr>
          <w:rFonts w:ascii="宋体" w:hAnsi="宋体" w:cs="宋体"/>
          <w:spacing w:val="-1"/>
        </w:rPr>
        <w:t xml:space="preserve">街道垃圾渗滤液的消纳滞留压力。</w:t>
      </w:r>
      <w:r>
        <w:rPr>
          <w:rFonts w:ascii="宋体" w:hAnsi="宋体" w:cs="宋体"/>
        </w:rPr>
      </w:r>
      <w:r/>
    </w:p>
    <w:p>
      <w:pPr>
        <w:pStyle w:val="1011"/>
        <w:ind w:left="36" w:right="82" w:firstLine="426"/>
        <w:spacing w:before="191" w:line="303" w:lineRule="auto"/>
        <w:rPr>
          <w:rFonts w:ascii="宋体" w:hAnsi="宋体" w:cs="宋体"/>
        </w:rPr>
      </w:pPr>
      <w:r>
        <w:rPr>
          <w:rFonts w:ascii="宋体" w:hAnsi="宋体" w:cs="宋体"/>
          <w:spacing w:val="1"/>
        </w:rPr>
        <w:t xml:space="preserve">（2）出水水质需经环保部门或具有第三方检测资质单位进行检测并出具水质检测报告（检测费用由</w:t>
      </w:r>
      <w:r>
        <w:rPr>
          <w:rFonts w:ascii="宋体" w:hAnsi="宋体" w:cs="宋体"/>
          <w:spacing w:val="-2"/>
        </w:rPr>
        <w:t xml:space="preserve">供应商承担</w:t>
      </w:r>
      <w:r>
        <w:rPr>
          <w:rFonts w:ascii="宋体" w:hAnsi="宋体" w:cs="宋体"/>
          <w:spacing w:val="4"/>
        </w:rPr>
        <w:t xml:space="preserve">），</w:t>
      </w:r>
      <w:r>
        <w:rPr>
          <w:rFonts w:ascii="宋体" w:hAnsi="宋体" w:cs="宋体"/>
          <w:spacing w:val="-2"/>
        </w:rPr>
        <w:t xml:space="preserve">确保出水水质达标。</w:t>
      </w:r>
      <w:r>
        <w:rPr>
          <w:rFonts w:ascii="宋体" w:hAnsi="宋体" w:cs="宋体"/>
        </w:rPr>
      </w:r>
      <w:r/>
    </w:p>
    <w:p>
      <w:pPr>
        <w:pStyle w:val="1011"/>
        <w:ind w:left="462"/>
        <w:spacing w:before="188" w:line="221" w:lineRule="auto"/>
        <w:rPr>
          <w:rFonts w:ascii="宋体" w:hAnsi="宋体" w:cs="宋体"/>
        </w:rPr>
      </w:pPr>
      <w:r>
        <w:rPr>
          <w:rFonts w:ascii="宋体" w:hAnsi="宋体" w:cs="宋体"/>
          <w:spacing w:val="-3"/>
        </w:rPr>
        <w:t xml:space="preserve">（3）本项目运营服务期内，排放的废水、废气</w:t>
      </w:r>
      <w:r>
        <w:rPr>
          <w:rFonts w:ascii="宋体" w:hAnsi="宋体" w:cs="宋体"/>
          <w:spacing w:val="-4"/>
        </w:rPr>
        <w:t xml:space="preserve">、噪声、固废、安全措施应符合国家和地方相关标准。</w:t>
      </w:r>
      <w:r>
        <w:rPr>
          <w:rFonts w:ascii="宋体" w:hAnsi="宋体" w:cs="宋体"/>
        </w:rPr>
      </w:r>
      <w:r/>
    </w:p>
    <w:p>
      <w:pPr>
        <w:pStyle w:val="1011"/>
        <w:ind w:left="462"/>
        <w:spacing w:before="190" w:line="221" w:lineRule="auto"/>
        <w:rPr>
          <w:rFonts w:ascii="宋体" w:hAnsi="宋体" w:cs="宋体"/>
        </w:rPr>
      </w:pPr>
      <w:r>
        <w:rPr>
          <w:rFonts w:ascii="宋体" w:hAnsi="宋体" w:cs="宋体"/>
          <w:spacing w:val="-1"/>
        </w:rPr>
        <w:t xml:space="preserve">（4）供应商须提供完全满足采购需求的服务。</w:t>
      </w:r>
      <w:r>
        <w:rPr>
          <w:rFonts w:ascii="宋体" w:hAnsi="宋体" w:cs="宋体"/>
        </w:rPr>
      </w:r>
      <w:r/>
    </w:p>
    <w:p>
      <w:pPr>
        <w:pStyle w:val="1011"/>
        <w:ind w:left="461"/>
        <w:spacing w:before="189" w:line="221" w:lineRule="auto"/>
        <w:rPr>
          <w:rFonts w:ascii="宋体" w:hAnsi="宋体" w:cs="宋体"/>
        </w:rPr>
      </w:pPr>
      <w:r>
        <w:rPr>
          <w:rFonts w:hint="eastAsia" w:ascii="宋体" w:hAnsi="宋体" w:cs="宋体"/>
          <w:b/>
          <w:bCs/>
          <w:spacing w:val="-4"/>
        </w:rPr>
        <w:t xml:space="preserve">7</w:t>
      </w:r>
      <w:r>
        <w:rPr>
          <w:rFonts w:ascii="宋体" w:hAnsi="宋体" w:cs="宋体"/>
          <w:b/>
          <w:bCs/>
          <w:spacing w:val="-4"/>
        </w:rPr>
        <w:t xml:space="preserve">、项目考核相关要求</w:t>
      </w:r>
      <w:r>
        <w:rPr>
          <w:rFonts w:ascii="宋体" w:hAnsi="宋体" w:cs="宋体"/>
        </w:rPr>
      </w:r>
      <w:r/>
    </w:p>
    <w:p>
      <w:pPr>
        <w:pStyle w:val="1011"/>
        <w:ind w:left="39" w:right="56" w:firstLine="423"/>
        <w:jc w:val="both"/>
        <w:spacing w:before="189" w:line="388" w:lineRule="auto"/>
        <w:rPr>
          <w:rFonts w:ascii="宋体" w:hAnsi="宋体" w:cs="宋体"/>
        </w:rPr>
      </w:pPr>
      <w:r>
        <w:rPr>
          <w:rFonts w:ascii="宋体" w:hAnsi="宋体" w:cs="宋体"/>
          <w:spacing w:val="-4"/>
        </w:rPr>
        <w:t xml:space="preserve">（1）本项目垃圾渗滤液经处理后，应满足《生活垃圾填埋场污染控制标准》（</w:t>
      </w:r>
      <w:bookmarkStart w:id="102" w:name="OLE_LINK11"/>
      <w:r>
        <w:rPr>
          <w:rFonts w:hint="eastAsia" w:ascii="宋体" w:hAnsi="宋体" w:cs="宋体"/>
          <w:color w:val="000000"/>
        </w:rPr>
        <w:t xml:space="preserve">GB 16889-2024</w:t>
      </w:r>
      <w:r>
        <w:rPr>
          <w:rFonts w:hint="eastAsia" w:ascii="宋体" w:hAnsi="宋体" w:cs="宋体"/>
          <w:color w:val="000000"/>
          <w:spacing w:val="-1"/>
        </w:rPr>
        <w:t xml:space="preserve">）</w:t>
      </w:r>
      <w:bookmarkEnd w:id="102"/>
      <w:r>
        <w:rPr>
          <w:rFonts w:ascii="宋体" w:hAnsi="宋体" w:cs="宋体"/>
          <w:spacing w:val="-5"/>
        </w:rPr>
        <w:t xml:space="preserve">中“表2  现有和新建生活垃圾填埋场水污染物排放质量浓度限值”的要求，其中溶解性总固体（TDS）应满足《污</w:t>
      </w:r>
      <w:r>
        <w:rPr>
          <w:rFonts w:ascii="宋体" w:hAnsi="宋体" w:cs="宋体"/>
          <w:spacing w:val="-1"/>
        </w:rPr>
        <w:t xml:space="preserve">水排入城镇下水道水质标准》(GB/T31962-2015)中“表1  污水排入城镇下水道水质等</w:t>
      </w:r>
      <w:r>
        <w:rPr>
          <w:rFonts w:ascii="宋体" w:hAnsi="宋体" w:cs="宋体"/>
          <w:spacing w:val="-2"/>
        </w:rPr>
        <w:t xml:space="preserve">级标准（最高允许</w:t>
      </w:r>
      <w:r>
        <w:rPr>
          <w:rFonts w:ascii="宋体" w:hAnsi="宋体" w:cs="宋体"/>
        </w:rPr>
        <w:t xml:space="preserve">值，pH值除外）”中C等级标准的要求，最终排污市政管网，产生的固体废物由供应商自行外运处置。</w:t>
      </w:r>
      <w:r/>
    </w:p>
    <w:p>
      <w:pPr>
        <w:pStyle w:val="1011"/>
        <w:ind w:left="37" w:right="59" w:firstLine="425"/>
        <w:spacing w:before="194" w:line="331" w:lineRule="auto"/>
        <w:rPr>
          <w:rFonts w:ascii="宋体" w:hAnsi="宋体" w:cs="宋体"/>
        </w:rPr>
      </w:pPr>
      <w:r>
        <w:rPr>
          <w:rFonts w:ascii="宋体" w:hAnsi="宋体" w:cs="宋体"/>
          <w:spacing w:val="2"/>
        </w:rPr>
        <w:t xml:space="preserve">（2）采购人或环境保护行政主管部门将针对处理水质进行在线</w:t>
      </w:r>
      <w:r>
        <w:rPr>
          <w:rFonts w:ascii="宋体" w:hAnsi="宋体" w:cs="宋体"/>
          <w:spacing w:val="1"/>
        </w:rPr>
        <w:t xml:space="preserve">监测，对处理量和主要污染排放进行</w:t>
      </w:r>
      <w:r>
        <w:rPr>
          <w:rFonts w:ascii="宋体" w:hAnsi="宋体" w:cs="宋体"/>
        </w:rPr>
        <w:t xml:space="preserve">实时监测。同时采购人也可采取定期检查、</w:t>
      </w:r>
      <w:r>
        <w:rPr>
          <w:rFonts w:ascii="宋体" w:hAnsi="宋体" w:cs="宋体"/>
          <w:spacing w:val="-1"/>
        </w:rPr>
        <w:t xml:space="preserve">不定期抽查等形式对服务商的渗滤液处理质量和服务质量进行</w:t>
      </w:r>
      <w:r>
        <w:rPr>
          <w:rFonts w:ascii="宋体" w:hAnsi="宋体" w:cs="宋体"/>
        </w:rPr>
        <w:t xml:space="preserve">监督、检测、考核、评估，作为考核服务合同履行情况、支付渗滤液处理费的</w:t>
      </w:r>
      <w:r>
        <w:rPr>
          <w:rFonts w:ascii="宋体" w:hAnsi="宋体" w:cs="宋体"/>
          <w:spacing w:val="-1"/>
        </w:rPr>
        <w:t xml:space="preserve">依据。</w:t>
      </w:r>
      <w:r>
        <w:rPr>
          <w:rFonts w:ascii="宋体" w:hAnsi="宋体" w:cs="宋体"/>
        </w:rPr>
      </w:r>
      <w:r/>
    </w:p>
    <w:p>
      <w:pPr>
        <w:pStyle w:val="1011"/>
        <w:ind w:left="41" w:right="66" w:firstLine="422"/>
        <w:spacing w:before="190" w:line="304" w:lineRule="auto"/>
        <w:rPr>
          <w:rFonts w:ascii="宋体" w:hAnsi="宋体" w:cs="宋体"/>
        </w:rPr>
      </w:pPr>
      <w:r>
        <w:rPr>
          <w:rFonts w:ascii="宋体" w:hAnsi="宋体" w:cs="宋体"/>
          <w:spacing w:val="2"/>
        </w:rPr>
        <w:t xml:space="preserve">（3）监管考核办法：本项目是服务运营项目，</w:t>
      </w:r>
      <w:r>
        <w:rPr>
          <w:rFonts w:ascii="宋体" w:hAnsi="宋体" w:cs="宋体"/>
          <w:spacing w:val="1"/>
        </w:rPr>
        <w:t xml:space="preserve">需建立健全监管考核办法和机制、运营现场日常管理</w:t>
      </w:r>
      <w:r>
        <w:rPr>
          <w:rFonts w:ascii="宋体" w:hAnsi="宋体" w:cs="宋体"/>
          <w:spacing w:val="-1"/>
        </w:rPr>
        <w:t xml:space="preserve">办法等。（具体考核明细详见合同附件）</w:t>
      </w:r>
      <w:r>
        <w:rPr>
          <w:rFonts w:ascii="宋体" w:hAnsi="宋体" w:cs="宋体"/>
        </w:rPr>
      </w:r>
      <w:r/>
    </w:p>
    <w:p>
      <w:pPr>
        <w:pStyle w:val="1011"/>
        <w:ind w:left="465"/>
        <w:spacing w:before="188" w:line="221" w:lineRule="auto"/>
        <w:rPr>
          <w:rFonts w:ascii="宋体" w:hAnsi="宋体" w:cs="宋体"/>
        </w:rPr>
      </w:pPr>
      <w:r>
        <w:rPr>
          <w:rFonts w:ascii="宋体" w:hAnsi="宋体" w:cs="宋体"/>
          <w:b/>
          <w:bCs/>
          <w:spacing w:val="-5"/>
        </w:rPr>
        <w:t xml:space="preserve">（四）服务期限</w:t>
      </w:r>
      <w:r>
        <w:rPr>
          <w:rFonts w:ascii="宋体" w:hAnsi="宋体" w:cs="宋体"/>
        </w:rPr>
      </w:r>
      <w:r/>
    </w:p>
    <w:p>
      <w:pPr>
        <w:pStyle w:val="1011"/>
        <w:ind w:left="36" w:right="59" w:firstLine="421"/>
        <w:jc w:val="both"/>
        <w:spacing w:before="186" w:line="372" w:lineRule="auto"/>
        <w:rPr>
          <w:rFonts w:ascii="宋体" w:hAnsi="宋体" w:cs="宋体"/>
        </w:rPr>
      </w:pPr>
      <w:r>
        <w:rPr>
          <w:rFonts w:ascii="宋体" w:hAnsi="宋体" w:cs="宋体"/>
        </w:rPr>
        <w:t xml:space="preserve">合同签订之日起 </w:t>
      </w:r>
      <w:r>
        <w:rPr>
          <w:rFonts w:ascii="Times New Roman" w:hAnsi="Times New Roman" w:eastAsia="Times New Roman" w:cs="Times New Roman"/>
        </w:rPr>
        <w:t xml:space="preserve">90</w:t>
      </w:r>
      <w:r>
        <w:rPr>
          <w:rFonts w:ascii="宋体" w:hAnsi="宋体" w:cs="宋体"/>
        </w:rPr>
        <w:t xml:space="preserve">天内完成该项目全部</w:t>
      </w:r>
      <w:r>
        <w:rPr>
          <w:rFonts w:ascii="宋体" w:hAnsi="宋体" w:cs="宋体"/>
          <w:spacing w:val="-1"/>
        </w:rPr>
        <w:t xml:space="preserve">渗滤液处理服务运行所需系统设备的安装调试并确保试运行</w:t>
      </w:r>
      <w:r>
        <w:rPr>
          <w:rFonts w:ascii="宋体" w:hAnsi="宋体" w:cs="宋体"/>
        </w:rPr>
        <w:t xml:space="preserve">验收合格，要求渗滤液处理量不少于</w:t>
      </w:r>
      <w:r>
        <w:rPr>
          <w:rFonts w:ascii="Times New Roman" w:hAnsi="Times New Roman" w:eastAsia="Times New Roman" w:cs="Times New Roman"/>
        </w:rPr>
        <w:t xml:space="preserve">40</w:t>
      </w:r>
      <w:r>
        <w:rPr>
          <w:rFonts w:ascii="宋体" w:hAnsi="宋体" w:cs="宋体"/>
        </w:rPr>
        <w:t xml:space="preserve">吨</w:t>
      </w:r>
      <w:r>
        <w:rPr>
          <w:rFonts w:ascii="Times New Roman" w:hAnsi="Times New Roman" w:eastAsia="Times New Roman" w:cs="Times New Roman"/>
        </w:rPr>
        <w:t xml:space="preserve">/</w:t>
      </w:r>
      <w:r>
        <w:rPr>
          <w:rFonts w:ascii="宋体" w:hAnsi="宋体" w:cs="宋体"/>
        </w:rPr>
        <w:t xml:space="preserve">天，</w:t>
      </w:r>
      <w:r>
        <w:rPr>
          <w:rFonts w:ascii="宋体" w:hAnsi="宋体" w:cs="宋体"/>
          <w:spacing w:val="-1"/>
        </w:rPr>
        <w:t xml:space="preserve">且处理规模须满足垃圾填埋场实际渗滤液量的要求。渗滤液处置服务期限为自试运行验收合格之日起三年（具体按合同约定）。</w:t>
      </w:r>
      <w:r>
        <w:rPr>
          <w:rFonts w:ascii="宋体" w:hAnsi="宋体" w:cs="宋体"/>
        </w:rPr>
      </w:r>
      <w:r/>
    </w:p>
    <w:p>
      <w:pPr>
        <w:pStyle w:val="1011"/>
        <w:ind w:left="465"/>
        <w:spacing w:before="1" w:line="221" w:lineRule="auto"/>
        <w:rPr>
          <w:rFonts w:ascii="宋体" w:hAnsi="宋体" w:cs="宋体"/>
        </w:rPr>
      </w:pPr>
      <w:r>
        <w:rPr>
          <w:rFonts w:ascii="宋体" w:hAnsi="宋体" w:cs="宋体"/>
          <w:b/>
          <w:bCs/>
          <w:spacing w:val="-5"/>
        </w:rPr>
        <w:t xml:space="preserve">（五）服务地点</w:t>
      </w:r>
      <w:r>
        <w:rPr>
          <w:rFonts w:ascii="宋体" w:hAnsi="宋体" w:cs="宋体"/>
        </w:rPr>
      </w:r>
      <w:r/>
    </w:p>
    <w:p>
      <w:pPr>
        <w:pStyle w:val="1011"/>
        <w:ind w:left="461"/>
        <w:spacing w:before="189" w:line="221" w:lineRule="auto"/>
        <w:rPr>
          <w:rFonts w:ascii="宋体" w:hAnsi="宋体" w:cs="宋体"/>
        </w:rPr>
      </w:pPr>
      <w:r>
        <w:rPr>
          <w:rFonts w:ascii="宋体" w:hAnsi="宋体" w:cs="宋体"/>
          <w:spacing w:val="-1"/>
        </w:rPr>
        <w:t xml:space="preserve">苏州市吴江区横扇街道，具体按采购人实际需求为准。</w:t>
      </w:r>
      <w:r>
        <w:rPr>
          <w:rFonts w:ascii="宋体" w:hAnsi="宋体" w:cs="宋体"/>
        </w:rPr>
      </w:r>
      <w:r/>
    </w:p>
    <w:p>
      <w:pPr>
        <w:pStyle w:val="1011"/>
        <w:ind w:left="465"/>
        <w:spacing w:before="189" w:line="221" w:lineRule="auto"/>
        <w:rPr>
          <w:rFonts w:ascii="宋体" w:hAnsi="宋体" w:cs="宋体"/>
        </w:rPr>
      </w:pPr>
      <w:r>
        <w:rPr>
          <w:rFonts w:ascii="宋体" w:hAnsi="宋体" w:cs="宋体"/>
          <w:b/>
          <w:bCs/>
          <w:spacing w:val="-6"/>
        </w:rPr>
        <w:t xml:space="preserve">（六）其他说明</w:t>
      </w:r>
      <w:r>
        <w:rPr>
          <w:rFonts w:ascii="宋体" w:hAnsi="宋体" w:cs="宋体"/>
        </w:rPr>
      </w:r>
      <w:r/>
    </w:p>
    <w:p>
      <w:pPr>
        <w:pStyle w:val="1011"/>
        <w:ind w:left="475"/>
        <w:spacing w:before="187" w:line="221" w:lineRule="auto"/>
        <w:rPr>
          <w:rFonts w:ascii="宋体" w:hAnsi="宋体" w:cs="宋体"/>
        </w:rPr>
      </w:pPr>
      <w:r>
        <w:rPr>
          <w:rFonts w:ascii="宋体" w:hAnsi="宋体" w:cs="宋体"/>
          <w:b/>
          <w:bCs/>
          <w:spacing w:val="-6"/>
        </w:rPr>
        <w:t xml:space="preserve">1、项目边界条件说明</w:t>
      </w:r>
      <w:r>
        <w:rPr>
          <w:rFonts w:ascii="宋体" w:hAnsi="宋体" w:cs="宋体"/>
        </w:rPr>
      </w:r>
      <w:r/>
    </w:p>
    <w:p>
      <w:pPr>
        <w:pStyle w:val="1011"/>
        <w:ind w:left="463"/>
        <w:spacing w:before="191" w:line="221" w:lineRule="auto"/>
        <w:rPr>
          <w:rFonts w:ascii="宋体" w:hAnsi="宋体" w:cs="宋体"/>
        </w:rPr>
      </w:pPr>
      <w:r>
        <w:rPr>
          <w:rFonts w:ascii="宋体" w:hAnsi="宋体" w:cs="宋体"/>
          <w:spacing w:val="-2"/>
        </w:rPr>
        <w:t xml:space="preserve">（1）服务用地</w:t>
      </w:r>
      <w:r>
        <w:rPr>
          <w:rFonts w:ascii="宋体" w:hAnsi="宋体" w:cs="宋体"/>
        </w:rPr>
      </w:r>
      <w:r/>
    </w:p>
    <w:p>
      <w:pPr>
        <w:pStyle w:val="1011"/>
        <w:ind w:left="41" w:right="67" w:firstLine="416"/>
        <w:spacing w:before="188" w:line="387" w:lineRule="auto"/>
        <w:rPr>
          <w:rFonts w:ascii="宋体" w:hAnsi="宋体" w:cs="宋体"/>
        </w:rPr>
      </w:pPr>
      <w:r>
        <w:rPr>
          <w:rFonts w:ascii="宋体" w:hAnsi="宋体" w:cs="宋体"/>
          <w:spacing w:val="-1"/>
        </w:rPr>
        <w:t xml:space="preserve">本项目占地位于横扇生活垃圾填埋场内，占地面积约为300㎡，可作为</w:t>
      </w:r>
      <w:r>
        <w:rPr>
          <w:rFonts w:ascii="宋体" w:hAnsi="宋体" w:cs="宋体"/>
          <w:spacing w:val="-2"/>
        </w:rPr>
        <w:t xml:space="preserve">本项目建设用地，具体以供应商现场勘察为准。</w:t>
      </w:r>
      <w:r>
        <w:rPr>
          <w:rFonts w:ascii="宋体" w:hAnsi="宋体" w:cs="宋体"/>
        </w:rPr>
      </w:r>
      <w:r/>
    </w:p>
    <w:p>
      <w:pPr>
        <w:pStyle w:val="1011"/>
        <w:ind w:left="463"/>
        <w:spacing w:line="221" w:lineRule="auto"/>
        <w:rPr>
          <w:rFonts w:ascii="宋体" w:hAnsi="宋体" w:cs="宋体"/>
        </w:rPr>
      </w:pPr>
      <w:r>
        <w:rPr>
          <w:rFonts w:ascii="宋体" w:hAnsi="宋体" w:cs="宋体"/>
          <w:spacing w:val="-2"/>
        </w:rPr>
        <w:t xml:space="preserve">（2）进出水及用水条件</w:t>
      </w:r>
      <w:r>
        <w:rPr>
          <w:rFonts w:ascii="宋体" w:hAnsi="宋体" w:cs="宋体"/>
        </w:rPr>
      </w:r>
      <w:r/>
    </w:p>
    <w:p>
      <w:pPr>
        <w:pStyle w:val="1011"/>
        <w:ind w:left="71" w:firstLine="387"/>
        <w:spacing w:before="188" w:line="387" w:lineRule="auto"/>
        <w:rPr>
          <w:rFonts w:ascii="宋体" w:hAnsi="宋体" w:cs="宋体"/>
        </w:rPr>
      </w:pPr>
      <w:r>
        <w:rPr>
          <w:rFonts w:ascii="宋体" w:hAnsi="宋体" w:cs="宋体"/>
          <w:spacing w:val="1"/>
        </w:rPr>
        <w:t xml:space="preserve">生产、生活用水：本项目生产给水优先使用渗滤液处理系统达标产水，</w:t>
      </w:r>
      <w:r>
        <w:rPr>
          <w:rFonts w:ascii="宋体" w:hAnsi="宋体" w:cs="宋体"/>
        </w:rPr>
        <w:t xml:space="preserve">生活用水水源为市政自来水， </w:t>
      </w:r>
      <w:r>
        <w:rPr>
          <w:rFonts w:ascii="宋体" w:hAnsi="宋体" w:cs="宋体"/>
          <w:spacing w:val="-5"/>
        </w:rPr>
        <w:t xml:space="preserve">自来水接自自来水管网。</w:t>
      </w:r>
      <w:r>
        <w:rPr>
          <w:rFonts w:ascii="宋体" w:hAnsi="宋体" w:cs="宋体"/>
        </w:rPr>
      </w:r>
      <w:r/>
    </w:p>
    <w:p>
      <w:pPr>
        <w:pStyle w:val="1011"/>
        <w:ind w:left="457"/>
        <w:spacing w:before="1" w:line="220" w:lineRule="auto"/>
        <w:rPr>
          <w:rFonts w:ascii="宋体" w:hAnsi="宋体" w:cs="宋体"/>
        </w:rPr>
      </w:pPr>
      <w:r>
        <w:rPr>
          <w:rFonts w:ascii="宋体" w:hAnsi="宋体" w:cs="宋体"/>
          <w:spacing w:val="-1"/>
        </w:rPr>
        <w:t xml:space="preserve">渗滤液进水：进水管由供应商自行负责，进水泵需备用一套。</w:t>
      </w:r>
      <w:r>
        <w:rPr>
          <w:rFonts w:ascii="宋体" w:hAnsi="宋体" w:cs="宋体"/>
        </w:rPr>
      </w:r>
      <w:r/>
    </w:p>
    <w:p>
      <w:pPr>
        <w:pStyle w:val="1011"/>
        <w:ind w:left="36" w:right="59" w:firstLine="424"/>
        <w:jc w:val="both"/>
        <w:spacing w:before="186" w:line="387" w:lineRule="auto"/>
        <w:rPr>
          <w:rFonts w:ascii="宋体" w:hAnsi="宋体" w:cs="宋体"/>
        </w:rPr>
      </w:pPr>
      <w:r>
        <w:rPr>
          <w:rFonts w:ascii="宋体" w:hAnsi="宋体" w:cs="宋体"/>
          <w:spacing w:val="-2"/>
        </w:rPr>
        <w:t xml:space="preserve">处理后排水：垃圾渗滤液经处理后应满足《生活垃圾填埋场污染控制标准》（</w:t>
      </w:r>
      <w:r>
        <w:rPr>
          <w:rFonts w:hint="eastAsia" w:ascii="宋体" w:hAnsi="宋体" w:cs="宋体"/>
          <w:color w:val="000000"/>
        </w:rPr>
        <w:t xml:space="preserve">GB 16889-2024</w:t>
      </w:r>
      <w:r>
        <w:rPr>
          <w:rFonts w:hint="eastAsia" w:ascii="宋体" w:hAnsi="宋体" w:cs="宋体"/>
          <w:color w:val="000000"/>
          <w:spacing w:val="-1"/>
        </w:rPr>
        <w:t xml:space="preserve">）</w:t>
      </w:r>
      <w:r>
        <w:rPr>
          <w:rFonts w:ascii="宋体" w:hAnsi="宋体" w:cs="宋体"/>
          <w:spacing w:val="-3"/>
        </w:rPr>
        <w:t xml:space="preserve">中“表</w:t>
      </w:r>
      <w:r>
        <w:rPr>
          <w:rFonts w:ascii="宋体" w:hAnsi="宋体" w:cs="宋体"/>
          <w:spacing w:val="-5"/>
        </w:rPr>
        <w:t xml:space="preserve">2  现有和新建生活垃圾填埋场水污染物排放质量浓度限值”的要求，其中溶解性总固体（TDS）应满足《污</w:t>
      </w:r>
      <w:r>
        <w:rPr>
          <w:rFonts w:ascii="宋体" w:hAnsi="宋体" w:cs="宋体"/>
          <w:spacing w:val="-1"/>
        </w:rPr>
        <w:t xml:space="preserve">水排入城镇下水道水质标准》(GB/T31962-2015)中“表1  污水排入城镇下水道水质等级标准</w:t>
      </w:r>
      <w:r>
        <w:rPr>
          <w:rFonts w:ascii="宋体" w:hAnsi="宋体" w:cs="宋体"/>
          <w:spacing w:val="-2"/>
        </w:rPr>
        <w:t xml:space="preserve">（最高允许</w:t>
      </w:r>
      <w:r>
        <w:rPr>
          <w:rFonts w:ascii="宋体" w:hAnsi="宋体" w:cs="宋体"/>
          <w:spacing w:val="-1"/>
        </w:rPr>
        <w:t xml:space="preserve">值，pH值除外）”中C等级标准的要求。</w:t>
      </w:r>
      <w:r>
        <w:rPr>
          <w:rFonts w:ascii="宋体" w:hAnsi="宋体" w:cs="宋体"/>
        </w:rPr>
      </w:r>
      <w:r/>
    </w:p>
    <w:p>
      <w:pPr>
        <w:pStyle w:val="1011"/>
        <w:ind w:left="44" w:right="60" w:firstLine="413"/>
        <w:spacing w:before="1" w:line="387" w:lineRule="auto"/>
        <w:rPr>
          <w:rFonts w:ascii="宋体" w:hAnsi="宋体" w:cs="宋体"/>
        </w:rPr>
      </w:pPr>
      <w:r>
        <w:rPr>
          <w:rFonts w:ascii="宋体" w:hAnsi="宋体" w:cs="宋体"/>
          <w:spacing w:val="-1"/>
        </w:rPr>
        <w:t xml:space="preserve">其他污水：生产废水（设备冲洗水等）经管网收集后进入垃圾渗滤液处理系统处理，生活污水经管网</w:t>
      </w:r>
      <w:r>
        <w:rPr>
          <w:rFonts w:ascii="宋体" w:hAnsi="宋体" w:cs="宋体"/>
        </w:rPr>
        <w:t xml:space="preserve">收集后排至生活污水处理系统处理，雨水经有组织收</w:t>
      </w:r>
      <w:r>
        <w:rPr>
          <w:rFonts w:ascii="宋体" w:hAnsi="宋体" w:cs="宋体"/>
          <w:spacing w:val="-1"/>
        </w:rPr>
        <w:t xml:space="preserve">集后排至附近雨水明沟。</w:t>
      </w:r>
      <w:r>
        <w:rPr>
          <w:rFonts w:ascii="宋体" w:hAnsi="宋体" w:cs="宋体"/>
        </w:rPr>
      </w:r>
      <w:r/>
    </w:p>
    <w:p>
      <w:pPr>
        <w:pStyle w:val="1011"/>
        <w:ind w:left="463"/>
        <w:spacing w:line="222" w:lineRule="auto"/>
        <w:rPr>
          <w:rFonts w:ascii="宋体" w:hAnsi="宋体" w:cs="宋体"/>
        </w:rPr>
      </w:pPr>
      <w:r>
        <w:rPr>
          <w:rFonts w:ascii="宋体" w:hAnsi="宋体" w:cs="宋体"/>
          <w:spacing w:val="-2"/>
        </w:rPr>
        <w:t xml:space="preserve">（3）运营边界划分</w:t>
      </w:r>
      <w:r>
        <w:rPr>
          <w:rFonts w:ascii="宋体" w:hAnsi="宋体" w:cs="宋体"/>
        </w:rPr>
      </w:r>
      <w:r/>
    </w:p>
    <w:p>
      <w:pPr>
        <w:pStyle w:val="1011"/>
        <w:ind w:left="37" w:right="59" w:firstLine="419"/>
        <w:spacing w:before="188" w:line="388" w:lineRule="auto"/>
        <w:rPr>
          <w:rFonts w:ascii="宋体" w:hAnsi="宋体" w:cs="宋体"/>
        </w:rPr>
      </w:pPr>
      <w:r>
        <w:rPr>
          <w:rFonts w:ascii="宋体" w:hAnsi="宋体" w:cs="宋体"/>
        </w:rPr>
        <w:t xml:space="preserve">运营期：渗滤液处理系统设备安装调试完成，</w:t>
      </w:r>
      <w:r>
        <w:rPr>
          <w:rFonts w:ascii="宋体" w:hAnsi="宋体" w:cs="宋体"/>
          <w:spacing w:val="-1"/>
        </w:rPr>
        <w:t xml:space="preserve">中标单位提出书面申请，进入为期 72 小时的试运行阶</w:t>
      </w:r>
      <w:r>
        <w:rPr>
          <w:rFonts w:ascii="宋体" w:hAnsi="宋体" w:cs="宋体"/>
        </w:rPr>
        <w:t xml:space="preserve">段，为期 72 小时的试运行结束，渗滤液处</w:t>
      </w:r>
      <w:r>
        <w:rPr>
          <w:rFonts w:ascii="宋体" w:hAnsi="宋体" w:cs="宋体"/>
          <w:spacing w:val="-1"/>
        </w:rPr>
        <w:t xml:space="preserve">理设施达标投产，中标单位提出书面申请由采购人委托的第三</w:t>
      </w:r>
      <w:r>
        <w:rPr>
          <w:rFonts w:ascii="宋体" w:hAnsi="宋体" w:cs="宋体"/>
          <w:spacing w:val="-2"/>
        </w:rPr>
        <w:t xml:space="preserve">方检测机构检测合格，进入运营期。</w:t>
      </w:r>
      <w:r>
        <w:rPr>
          <w:rFonts w:ascii="宋体" w:hAnsi="宋体" w:cs="宋体"/>
        </w:rPr>
      </w:r>
      <w:r/>
    </w:p>
    <w:p>
      <w:pPr>
        <w:pStyle w:val="1011"/>
        <w:spacing w:line="388" w:lineRule="auto"/>
        <w:rPr>
          <w:rFonts w:ascii="宋体" w:hAnsi="宋体" w:cs="宋体"/>
        </w:rPr>
        <w:sectPr>
          <w:headerReference w:type="default" r:id="rId23"/>
          <w:footerReference w:type="default" r:id="rId30"/>
          <w:footnotePr/>
          <w:endnotePr/>
          <w:type w:val="nextPage"/>
          <w:pgSz w:w="11907" w:h="16839" w:orient="portrait"/>
          <w:pgMar w:top="921" w:right="1070" w:bottom="676" w:left="1104" w:header="601" w:footer="511" w:gutter="0"/>
          <w:cols w:num="1" w:sep="0" w:space="720" w:equalWidth="1"/>
          <w:docGrid w:linePitch="360"/>
        </w:sectPr>
      </w:pPr>
      <w:r>
        <w:rPr>
          <w:rFonts w:ascii="宋体" w:hAnsi="宋体" w:cs="宋体"/>
        </w:rPr>
      </w:r>
      <w:r/>
    </w:p>
    <w:p>
      <w:pPr>
        <w:pStyle w:val="1011"/>
        <w:ind w:left="458"/>
        <w:spacing w:before="157" w:line="221" w:lineRule="auto"/>
        <w:rPr>
          <w:rFonts w:ascii="宋体" w:hAnsi="宋体" w:cs="宋体"/>
        </w:rPr>
      </w:pPr>
      <w:r>
        <w:rPr>
          <w:rFonts w:ascii="宋体" w:hAnsi="宋体" w:cs="宋体"/>
        </w:rPr>
        <w:t xml:space="preserve">用电用水：电费水费由中标单位负责（安装分表，</w:t>
      </w:r>
      <w:r>
        <w:rPr>
          <w:rFonts w:ascii="宋体" w:hAnsi="宋体" w:cs="宋体"/>
          <w:spacing w:val="-1"/>
        </w:rPr>
        <w:t xml:space="preserve">按实结算）。</w:t>
      </w:r>
      <w:r>
        <w:rPr>
          <w:rFonts w:ascii="宋体" w:hAnsi="宋体" w:cs="宋体"/>
        </w:rPr>
      </w:r>
      <w:r/>
    </w:p>
    <w:p>
      <w:pPr>
        <w:pStyle w:val="1011"/>
        <w:ind w:left="461"/>
        <w:spacing w:before="187" w:line="220" w:lineRule="auto"/>
        <w:rPr>
          <w:rFonts w:ascii="宋体" w:hAnsi="宋体" w:cs="宋体"/>
        </w:rPr>
      </w:pPr>
      <w:r>
        <w:rPr>
          <w:rFonts w:ascii="宋体" w:hAnsi="宋体" w:cs="宋体"/>
          <w:b/>
          <w:bCs/>
          <w:spacing w:val="-6"/>
        </w:rPr>
        <w:t xml:space="preserve">2、投标报价说明</w:t>
      </w:r>
      <w:r>
        <w:rPr>
          <w:rFonts w:ascii="宋体" w:hAnsi="宋体" w:cs="宋体"/>
        </w:rPr>
      </w:r>
      <w:r/>
    </w:p>
    <w:p>
      <w:pPr>
        <w:pStyle w:val="1011"/>
        <w:ind w:left="35" w:right="86" w:firstLine="422"/>
        <w:jc w:val="both"/>
        <w:spacing w:before="5" w:line="386" w:lineRule="auto"/>
        <w:rPr>
          <w:rFonts w:ascii="宋体" w:hAnsi="宋体" w:cs="宋体"/>
          <w:spacing w:val="-1"/>
        </w:rPr>
      </w:pPr>
      <w:r>
        <w:rPr>
          <w:rFonts w:ascii="宋体" w:hAnsi="宋体" w:cs="宋体"/>
          <w:spacing w:val="-1"/>
        </w:rPr>
        <w:t xml:space="preserve">投标报价应包括渗滤液处理到达标排放过程中所需的全部费用，</w:t>
      </w:r>
      <w:r>
        <w:rPr>
          <w:rFonts w:hint="eastAsia" w:ascii="宋体" w:hAnsi="宋体" w:cs="宋体"/>
          <w:spacing w:val="-1"/>
        </w:rPr>
        <w:t xml:space="preserve">包括但不限于服务全过程所需的全部的设施建设、设备采购、安装调试、渗滤液运营处理、采购代理服务费、管理、维护、保险、检测、验收等所发生的全部费用以及响应单位企业利润、税金和政策性文件规定及合同包含的所有风险、责任等各项应有费用。响应单位自行承担项目实施过程中的各项风险、安全责任。红线内水电气相关费用均含在项目成本费用中，响应单位自行考虑。</w:t>
      </w:r>
      <w:r>
        <w:rPr>
          <w:rFonts w:ascii="宋体" w:hAnsi="宋体" w:cs="宋体"/>
          <w:spacing w:val="-1"/>
        </w:rPr>
        <w:t xml:space="preserve">本项目为交钥匙服务项目，投标单位自行考虑项目实施过程中的各项风险因素，确保投标报价为最终报价，除非因特殊原因并经买卖双方协商同意，投标单位不得再要求追加任何费用。同时，除非合同条款中另有规定，否则，投标单位所报综合单价价格在合同实施期间不因市场变化因素而变动。请投标单位充分踏勘现场，了解存在的各种困难和风险，合理报价（投标单位参与投标即视为对本项目现场所存在的可能影响项目目标实现的各种因素有充分的了解，所有的采购单位招标时现场即存在的可能影响项目目标实现的因素均视为投标单位报价中已包括的风险范围）。</w:t>
      </w:r>
      <w:r/>
    </w:p>
    <w:p>
      <w:pPr>
        <w:pStyle w:val="1011"/>
        <w:ind w:left="463"/>
        <w:spacing w:line="221" w:lineRule="auto"/>
        <w:rPr>
          <w:rFonts w:ascii="宋体" w:hAnsi="宋体" w:cs="宋体"/>
        </w:rPr>
      </w:pPr>
      <w:r>
        <w:rPr>
          <w:rFonts w:ascii="宋体" w:hAnsi="宋体" w:cs="宋体"/>
          <w:b/>
          <w:bCs/>
          <w:spacing w:val="-6"/>
        </w:rPr>
        <w:t xml:space="preserve">3、服务相关说明</w:t>
      </w:r>
      <w:r>
        <w:rPr>
          <w:rFonts w:ascii="宋体" w:hAnsi="宋体" w:cs="宋体"/>
        </w:rPr>
      </w:r>
      <w:r/>
    </w:p>
    <w:p>
      <w:pPr>
        <w:pStyle w:val="1011"/>
        <w:ind w:left="463"/>
        <w:spacing w:before="186" w:line="221" w:lineRule="auto"/>
        <w:rPr>
          <w:rFonts w:ascii="宋体" w:hAnsi="宋体" w:cs="宋体"/>
        </w:rPr>
      </w:pPr>
      <w:r>
        <w:rPr>
          <w:rFonts w:ascii="宋体" w:hAnsi="宋体" w:cs="宋体"/>
          <w:spacing w:val="-2"/>
        </w:rPr>
        <w:t xml:space="preserve">（1）供应商遵守服务规范要求，文明施工；</w:t>
      </w:r>
      <w:r>
        <w:rPr>
          <w:rFonts w:ascii="宋体" w:hAnsi="宋体" w:cs="宋体"/>
        </w:rPr>
      </w:r>
      <w:r/>
    </w:p>
    <w:p>
      <w:pPr>
        <w:pStyle w:val="1011"/>
        <w:ind w:left="463"/>
        <w:spacing w:before="190" w:line="221" w:lineRule="auto"/>
        <w:rPr>
          <w:rFonts w:ascii="宋体" w:hAnsi="宋体" w:cs="宋体"/>
        </w:rPr>
      </w:pPr>
      <w:r>
        <w:rPr>
          <w:rFonts w:ascii="宋体" w:hAnsi="宋体" w:cs="宋体"/>
          <w:spacing w:val="-1"/>
        </w:rPr>
        <w:t xml:space="preserve">（2）供应商人员对设备环境等造成损坏，应由供应商负责修复及承担一切费</w:t>
      </w:r>
      <w:r>
        <w:rPr>
          <w:rFonts w:ascii="宋体" w:hAnsi="宋体" w:cs="宋体"/>
          <w:spacing w:val="-2"/>
        </w:rPr>
        <w:t xml:space="preserve">用；</w:t>
      </w:r>
      <w:r>
        <w:rPr>
          <w:rFonts w:ascii="宋体" w:hAnsi="宋体" w:cs="宋体"/>
        </w:rPr>
      </w:r>
      <w:r/>
    </w:p>
    <w:p>
      <w:pPr>
        <w:pStyle w:val="1011"/>
        <w:ind w:left="463"/>
        <w:spacing w:before="188" w:line="221" w:lineRule="auto"/>
        <w:rPr>
          <w:rFonts w:ascii="宋体" w:hAnsi="宋体" w:cs="宋体"/>
        </w:rPr>
      </w:pPr>
      <w:r>
        <w:rPr>
          <w:rFonts w:ascii="宋体" w:hAnsi="宋体" w:cs="宋体"/>
        </w:rPr>
        <w:t xml:space="preserve">（3）服务期间做好安全交通等标识牌，供应商负责及时清理垃圾，保</w:t>
      </w:r>
      <w:r>
        <w:rPr>
          <w:rFonts w:ascii="宋体" w:hAnsi="宋体" w:cs="宋体"/>
          <w:spacing w:val="-1"/>
        </w:rPr>
        <w:t xml:space="preserve">证场地清洁不影响出行；</w:t>
      </w:r>
      <w:r>
        <w:rPr>
          <w:rFonts w:ascii="宋体" w:hAnsi="宋体" w:cs="宋体"/>
        </w:rPr>
      </w:r>
      <w:r/>
    </w:p>
    <w:p>
      <w:pPr>
        <w:pStyle w:val="1011"/>
        <w:ind w:left="463"/>
        <w:spacing w:before="188" w:line="221" w:lineRule="auto"/>
        <w:rPr>
          <w:rFonts w:ascii="宋体" w:hAnsi="宋体" w:cs="宋体"/>
        </w:rPr>
      </w:pPr>
      <w:r>
        <w:rPr>
          <w:rFonts w:ascii="宋体" w:hAnsi="宋体" w:cs="宋体"/>
          <w:spacing w:val="-1"/>
        </w:rPr>
        <w:t xml:space="preserve">（4）供应商承担服务期间设备和人员的安全责任。</w:t>
      </w:r>
      <w:r>
        <w:rPr>
          <w:rFonts w:ascii="宋体" w:hAnsi="宋体" w:cs="宋体"/>
        </w:rPr>
      </w:r>
      <w:r/>
    </w:p>
    <w:p>
      <w:pPr>
        <w:pStyle w:val="1011"/>
        <w:ind w:left="458"/>
        <w:spacing w:before="191" w:line="221" w:lineRule="auto"/>
        <w:rPr>
          <w:rFonts w:ascii="宋体" w:hAnsi="宋体" w:cs="宋体"/>
        </w:rPr>
      </w:pPr>
      <w:r>
        <w:rPr>
          <w:rFonts w:ascii="宋体" w:hAnsi="宋体" w:cs="宋体"/>
          <w:b/>
          <w:bCs/>
          <w:spacing w:val="-2"/>
        </w:rPr>
        <w:t xml:space="preserve">4、若中标单位在项目服务期间，违反下列规定将被扣除履约保证金或解除相关服务合同</w:t>
      </w:r>
      <w:r>
        <w:rPr>
          <w:rFonts w:ascii="宋体" w:hAnsi="宋体" w:cs="宋体"/>
        </w:rPr>
      </w:r>
      <w:r/>
    </w:p>
    <w:p>
      <w:pPr>
        <w:pStyle w:val="1011"/>
        <w:ind w:left="463"/>
        <w:spacing w:before="187" w:line="221" w:lineRule="auto"/>
        <w:rPr>
          <w:rFonts w:ascii="宋体" w:hAnsi="宋体" w:cs="宋体"/>
        </w:rPr>
      </w:pPr>
      <w:r>
        <w:rPr>
          <w:rFonts w:ascii="宋体" w:hAnsi="宋体" w:cs="宋体"/>
          <w:spacing w:val="-1"/>
        </w:rPr>
        <w:t xml:space="preserve">（1）未经招标单位许可，将承包的服务整体</w:t>
      </w:r>
      <w:r>
        <w:rPr>
          <w:rFonts w:ascii="宋体" w:hAnsi="宋体" w:cs="宋体"/>
          <w:spacing w:val="-2"/>
        </w:rPr>
        <w:t xml:space="preserve">转包、分包他人；</w:t>
      </w:r>
      <w:r>
        <w:rPr>
          <w:rFonts w:ascii="宋体" w:hAnsi="宋体" w:cs="宋体"/>
        </w:rPr>
      </w:r>
      <w:r/>
    </w:p>
    <w:p>
      <w:pPr>
        <w:pStyle w:val="1011"/>
        <w:ind w:left="463"/>
        <w:spacing w:before="188" w:line="221" w:lineRule="auto"/>
        <w:rPr>
          <w:rFonts w:ascii="宋体" w:hAnsi="宋体" w:cs="宋体"/>
        </w:rPr>
      </w:pPr>
      <w:r>
        <w:rPr>
          <w:rFonts w:ascii="宋体" w:hAnsi="宋体" w:cs="宋体"/>
          <w:spacing w:val="-2"/>
        </w:rPr>
        <w:t xml:space="preserve">（2）严重违反采购单位关于本项目的有关规定；</w:t>
      </w:r>
      <w:r>
        <w:rPr>
          <w:rFonts w:ascii="宋体" w:hAnsi="宋体" w:cs="宋体"/>
        </w:rPr>
      </w:r>
      <w:r/>
    </w:p>
    <w:p>
      <w:pPr>
        <w:pStyle w:val="1011"/>
        <w:ind w:left="463"/>
        <w:spacing w:before="190" w:line="222" w:lineRule="auto"/>
        <w:rPr>
          <w:rFonts w:ascii="宋体" w:hAnsi="宋体" w:cs="宋体"/>
        </w:rPr>
      </w:pPr>
      <w:r>
        <w:rPr>
          <w:rFonts w:ascii="宋体" w:hAnsi="宋体" w:cs="宋体"/>
          <w:spacing w:val="-3"/>
        </w:rPr>
        <w:t xml:space="preserve">（3）出现重大事故或问题。</w:t>
      </w:r>
      <w:bookmarkEnd w:id="91"/>
      <w:r>
        <w:rPr>
          <w:rFonts w:ascii="宋体" w:hAnsi="宋体" w:cs="宋体"/>
        </w:rPr>
      </w:r>
      <w:r/>
    </w:p>
    <w:p>
      <w:pPr>
        <w:pStyle w:val="1011"/>
        <w:ind w:left="463"/>
        <w:spacing w:before="187" w:line="221" w:lineRule="auto"/>
        <w:rPr>
          <w:rFonts w:ascii="宋体" w:hAnsi="宋体" w:cs="宋体"/>
        </w:rPr>
      </w:pPr>
      <w:r/>
      <w:bookmarkStart w:id="103" w:name="OLE_LINK91"/>
      <w:r>
        <w:rPr>
          <w:rFonts w:ascii="宋体" w:hAnsi="宋体" w:cs="宋体"/>
          <w:b/>
          <w:bCs/>
          <w:spacing w:val="-7"/>
        </w:rPr>
        <w:t xml:space="preserve">5、综合说明</w:t>
      </w:r>
      <w:r>
        <w:rPr>
          <w:rFonts w:ascii="宋体" w:hAnsi="宋体" w:cs="宋体"/>
        </w:rPr>
      </w:r>
      <w:r/>
    </w:p>
    <w:p>
      <w:pPr>
        <w:pStyle w:val="1011"/>
        <w:ind w:left="463"/>
        <w:spacing w:before="187" w:line="216" w:lineRule="auto"/>
        <w:rPr>
          <w:rFonts w:ascii="宋体" w:hAnsi="宋体" w:cs="宋体"/>
        </w:rPr>
      </w:pPr>
      <w:r/>
      <w:bookmarkStart w:id="104" w:name="OLE_LINK90"/>
      <w:r>
        <w:rPr>
          <w:rFonts w:hint="eastAsia" w:ascii="宋体" w:hAnsi="宋体" w:cs="宋体"/>
        </w:rPr>
        <w:t xml:space="preserve">（1）投标单位应对所投项目的全部内容进行报价，只投其中部分内容者，其标书将被拒绝。</w:t>
      </w:r>
      <w:r>
        <w:rPr>
          <w:rFonts w:ascii="宋体" w:hAnsi="宋体" w:cs="宋体"/>
        </w:rPr>
      </w:r>
      <w:r/>
    </w:p>
    <w:p>
      <w:pPr>
        <w:pStyle w:val="1011"/>
        <w:ind w:left="36" w:right="90" w:firstLine="427"/>
        <w:spacing w:before="193" w:line="345" w:lineRule="auto"/>
        <w:rPr>
          <w:rFonts w:ascii="宋体" w:hAnsi="宋体" w:cs="宋体"/>
        </w:rPr>
      </w:pPr>
      <w:r>
        <w:rPr>
          <w:rFonts w:ascii="宋体" w:hAnsi="宋体" w:cs="宋体"/>
          <w:spacing w:val="2"/>
        </w:rPr>
        <w:t xml:space="preserve">（2）中标单位须按照本招标文件的要求对该招标项目进行服</w:t>
      </w:r>
      <w:r>
        <w:rPr>
          <w:rFonts w:ascii="宋体" w:hAnsi="宋体" w:cs="宋体"/>
          <w:spacing w:val="1"/>
        </w:rPr>
        <w:t xml:space="preserve">务工作。如遇服务范围内有大的调整或</w:t>
      </w:r>
      <w:r>
        <w:rPr>
          <w:rFonts w:ascii="宋体" w:hAnsi="宋体" w:cs="宋体"/>
          <w:spacing w:val="-1"/>
        </w:rPr>
        <w:t xml:space="preserve">迁移等重大情况，采购单位将提前告知乙方，合同内容经双方协商调整。服务履行期间，招标单位将对该</w:t>
      </w:r>
      <w:r>
        <w:rPr>
          <w:rFonts w:ascii="宋体" w:hAnsi="宋体" w:cs="宋体"/>
        </w:rPr>
        <w:t xml:space="preserve">招标项目进行检查考核。因中标单位管理不</w:t>
      </w:r>
      <w:r>
        <w:rPr>
          <w:rFonts w:ascii="宋体" w:hAnsi="宋体" w:cs="宋体"/>
          <w:spacing w:val="-1"/>
        </w:rPr>
        <w:t xml:space="preserve">善，造成项目服务范围内的设施、设备损坏，造成重大损失的</w:t>
      </w:r>
      <w:r>
        <w:rPr>
          <w:rFonts w:ascii="宋体" w:hAnsi="宋体" w:cs="宋体"/>
        </w:rPr>
        <w:t xml:space="preserve">由直接责任人赔偿，若直接责任人因故无法赔偿的，采购单位有权要求中标单位按实际损失金额赔</w:t>
      </w:r>
      <w:r>
        <w:rPr>
          <w:rFonts w:ascii="宋体" w:hAnsi="宋体" w:cs="宋体"/>
          <w:spacing w:val="-1"/>
        </w:rPr>
        <w:t xml:space="preserve">偿。</w:t>
      </w:r>
      <w:r>
        <w:rPr>
          <w:rFonts w:ascii="宋体" w:hAnsi="宋体" w:cs="宋体"/>
        </w:rPr>
      </w:r>
      <w:r/>
    </w:p>
    <w:p>
      <w:pPr>
        <w:pStyle w:val="1011"/>
        <w:ind w:left="37" w:right="87" w:firstLine="427"/>
        <w:spacing w:before="186" w:line="354" w:lineRule="auto"/>
        <w:rPr>
          <w:rFonts w:ascii="宋体" w:hAnsi="宋体" w:cs="宋体"/>
        </w:rPr>
      </w:pPr>
      <w:r>
        <w:rPr>
          <w:rFonts w:ascii="宋体" w:hAnsi="宋体" w:cs="宋体"/>
          <w:b/>
          <w:bCs/>
          <w:spacing w:val="-5"/>
        </w:rPr>
        <w:t xml:space="preserve">（3）投标文件中明确的项目组人员、设备与进场作业人员、设备</w:t>
      </w:r>
      <w:r>
        <w:rPr>
          <w:rFonts w:ascii="宋体" w:hAnsi="宋体" w:cs="宋体"/>
          <w:b/>
          <w:bCs/>
          <w:spacing w:val="-6"/>
        </w:rPr>
        <w:t xml:space="preserve">应该一致，中标单位不得随意更换，</w:t>
      </w:r>
      <w:r>
        <w:rPr>
          <w:rFonts w:ascii="宋体" w:hAnsi="宋体" w:cs="宋体"/>
          <w:b/>
          <w:bCs/>
          <w:spacing w:val="-2"/>
        </w:rPr>
        <w:t xml:space="preserve">如发现未经采购单位许可随意更换主要技术人员及设备，按中标单位违</w:t>
      </w:r>
      <w:r>
        <w:rPr>
          <w:rFonts w:ascii="宋体" w:hAnsi="宋体" w:cs="宋体"/>
          <w:b/>
          <w:bCs/>
          <w:spacing w:val="-3"/>
        </w:rPr>
        <w:t xml:space="preserve">约处理。</w:t>
      </w:r>
      <w:r>
        <w:rPr>
          <w:rFonts w:ascii="宋体" w:hAnsi="宋体" w:cs="宋体"/>
          <w:spacing w:val="-3"/>
        </w:rPr>
        <w:t xml:space="preserve">中标单位人员进场，需持</w:t>
      </w:r>
      <w:r>
        <w:rPr>
          <w:rFonts w:ascii="宋体" w:hAnsi="宋体" w:cs="宋体"/>
        </w:rPr>
        <w:t xml:space="preserve">有身份证复印件，经与投标文件核对无误，方</w:t>
      </w:r>
      <w:r>
        <w:rPr>
          <w:rFonts w:ascii="宋体" w:hAnsi="宋体" w:cs="宋体"/>
          <w:spacing w:val="-1"/>
        </w:rPr>
        <w:t xml:space="preserve">能上岗工作，人员变动，需法定代表人签字或盖章，阐明变</w:t>
      </w:r>
      <w:r>
        <w:rPr>
          <w:rFonts w:ascii="宋体" w:hAnsi="宋体" w:cs="宋体"/>
          <w:spacing w:val="-5"/>
        </w:rPr>
        <w:t xml:space="preserve">动原因，并需经采购单位同意。采购单位对中标单位人员每月不定期检查，如发现撤离到其他工地作业</w:t>
      </w:r>
      <w:r>
        <w:rPr>
          <w:rFonts w:ascii="宋体" w:hAnsi="宋体" w:cs="宋体"/>
          <w:spacing w:val="-6"/>
        </w:rPr>
        <w:t xml:space="preserve">时，</w:t>
      </w:r>
      <w:r>
        <w:rPr>
          <w:rFonts w:ascii="宋体" w:hAnsi="宋体" w:cs="宋体"/>
          <w:spacing w:val="-1"/>
        </w:rPr>
        <w:t xml:space="preserve">按中标单位违约处理。</w:t>
      </w:r>
      <w:r>
        <w:rPr>
          <w:rFonts w:ascii="宋体" w:hAnsi="宋体" w:cs="宋体"/>
        </w:rPr>
      </w:r>
      <w:r/>
    </w:p>
    <w:p>
      <w:pPr>
        <w:pStyle w:val="1011"/>
        <w:ind w:firstLine="420"/>
        <w:rPr>
          <w:rFonts w:ascii="宋体" w:hAnsi="宋体" w:cs="宋体"/>
        </w:rPr>
      </w:pPr>
      <w:r>
        <w:rPr>
          <w:rFonts w:ascii="宋体" w:hAnsi="宋体" w:cs="宋体"/>
          <w:spacing w:val="2"/>
        </w:rPr>
        <w:t xml:space="preserve">（4）中标单位自行承担合同实施期间其人员的人身安全、仪器</w:t>
      </w:r>
      <w:r>
        <w:rPr>
          <w:rFonts w:ascii="宋体" w:hAnsi="宋体" w:cs="宋体"/>
          <w:spacing w:val="1"/>
        </w:rPr>
        <w:t xml:space="preserve">设备的使用正常及其一切可能产生的</w:t>
      </w:r>
      <w:r>
        <w:rPr>
          <w:rFonts w:ascii="宋体" w:hAnsi="宋体" w:cs="宋体"/>
          <w:spacing w:val="-9"/>
        </w:rPr>
        <w:t xml:space="preserve">后果。</w:t>
      </w:r>
      <w:bookmarkEnd w:id="103"/>
      <w:r>
        <w:rPr>
          <w:rFonts w:ascii="宋体" w:hAnsi="宋体" w:cs="宋体"/>
        </w:rPr>
      </w:r>
      <w:r/>
    </w:p>
    <w:p>
      <w:pPr>
        <w:pStyle w:val="1011"/>
        <w:ind w:left="40" w:firstLine="423"/>
        <w:spacing w:before="155" w:line="332" w:lineRule="auto"/>
        <w:rPr>
          <w:rFonts w:ascii="宋体" w:hAnsi="宋体" w:cs="宋体"/>
        </w:rPr>
      </w:pPr>
      <w:r>
        <w:rPr>
          <w:rFonts w:ascii="宋体" w:hAnsi="宋体" w:cs="宋体"/>
          <w:spacing w:val="2"/>
        </w:rPr>
        <w:t xml:space="preserve">（5）投标单位要充分考虑知识产权问题，应保证采购单位免除</w:t>
      </w:r>
      <w:r>
        <w:rPr>
          <w:rFonts w:ascii="宋体" w:hAnsi="宋体" w:cs="宋体"/>
          <w:spacing w:val="1"/>
        </w:rPr>
        <w:t xml:space="preserve">且承担由于投标单位在其本国使用该项目所需的材料和设计或其任何一部分时而引起第三方提出的侵犯专利权、商标权或工业设计权</w:t>
      </w:r>
      <w:r>
        <w:rPr>
          <w:rFonts w:ascii="宋体" w:hAnsi="宋体" w:cs="宋体"/>
        </w:rPr>
        <w:t xml:space="preserve">的起诉、 行动、行政程序索赔、请求等，以及采购单位为此而产生的损失和损害、费用和支出（</w:t>
      </w:r>
      <w:r>
        <w:rPr>
          <w:rFonts w:ascii="宋体" w:hAnsi="宋体" w:cs="宋体"/>
          <w:spacing w:val="-1"/>
        </w:rPr>
        <w:t xml:space="preserve">包括律师费）。</w:t>
      </w:r>
      <w:r>
        <w:rPr>
          <w:rFonts w:ascii="宋体" w:hAnsi="宋体" w:cs="宋体"/>
        </w:rPr>
      </w:r>
      <w:r/>
    </w:p>
    <w:p>
      <w:pPr>
        <w:pStyle w:val="1011"/>
        <w:ind w:left="463"/>
        <w:spacing w:before="187" w:line="221" w:lineRule="auto"/>
        <w:rPr>
          <w:rFonts w:ascii="宋体" w:hAnsi="宋体" w:cs="宋体"/>
        </w:rPr>
      </w:pPr>
      <w:r>
        <w:rPr>
          <w:rFonts w:ascii="宋体" w:hAnsi="宋体" w:cs="宋体"/>
          <w:spacing w:val="-1"/>
        </w:rPr>
        <w:t xml:space="preserve">（6）凡涉及招标文件的补充说明和修改，均以招标代理机构公示的补充通知为准</w:t>
      </w:r>
      <w:bookmarkEnd w:id="104"/>
      <w:r>
        <w:rPr>
          <w:rFonts w:ascii="宋体" w:hAnsi="宋体" w:cs="宋体"/>
          <w:spacing w:val="-1"/>
        </w:rPr>
        <w:t xml:space="preserve">。</w:t>
      </w:r>
      <w:r>
        <w:rPr>
          <w:rFonts w:ascii="宋体" w:hAnsi="宋体" w:cs="宋体"/>
        </w:rPr>
      </w:r>
      <w:r/>
    </w:p>
    <w:p>
      <w:pPr>
        <w:pStyle w:val="1011"/>
        <w:ind w:left="461"/>
        <w:spacing w:before="188" w:line="221" w:lineRule="auto"/>
        <w:rPr>
          <w:rFonts w:ascii="宋体" w:hAnsi="宋体" w:cs="宋体"/>
        </w:rPr>
      </w:pPr>
      <w:r>
        <w:rPr>
          <w:rFonts w:ascii="宋体" w:hAnsi="宋体" w:cs="宋体"/>
          <w:b/>
          <w:bCs/>
          <w:spacing w:val="-4"/>
        </w:rPr>
        <w:t xml:space="preserve">6、政策执行（如涉及）</w:t>
      </w:r>
      <w:bookmarkEnd w:id="92"/>
      <w:r/>
      <w:bookmarkEnd w:id="93"/>
      <w:r>
        <w:rPr>
          <w:rFonts w:ascii="宋体" w:hAnsi="宋体" w:cs="宋体"/>
        </w:rPr>
      </w:r>
      <w:r/>
    </w:p>
    <w:p>
      <w:pPr>
        <w:pStyle w:val="1011"/>
        <w:ind w:firstLine="480"/>
        <w:spacing w:line="360" w:lineRule="auto"/>
        <w:rPr>
          <w:rFonts w:ascii="宋体" w:hAnsi="宋体" w:cs="宋体"/>
        </w:rPr>
      </w:pPr>
      <w:r/>
      <w:bookmarkStart w:id="105" w:name="OLE_LINK92"/>
      <w:r>
        <w:rPr>
          <w:rFonts w:hint="eastAsia" w:ascii="宋体" w:hAnsi="宋体" w:cs="宋体"/>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ascii="宋体" w:hAnsi="宋体" w:cs="宋体"/>
        </w:rPr>
      </w:r>
      <w:r/>
    </w:p>
    <w:p>
      <w:pPr>
        <w:pStyle w:val="1011"/>
        <w:ind w:firstLine="480"/>
        <w:spacing w:line="360" w:lineRule="auto"/>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rPr>
      </w:r>
      <w:r/>
    </w:p>
    <w:p>
      <w:pPr>
        <w:pStyle w:val="1011"/>
        <w:ind w:firstLine="480"/>
        <w:spacing w:line="360" w:lineRule="auto"/>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rPr>
      </w:r>
      <w:r/>
    </w:p>
    <w:p>
      <w:pPr>
        <w:pStyle w:val="1011"/>
        <w:ind w:firstLine="480"/>
        <w:spacing w:line="360" w:lineRule="auto"/>
        <w:rPr>
          <w:rFonts w:ascii="宋体" w:hAnsi="宋体" w:cs="宋体"/>
        </w:rPr>
      </w:pPr>
      <w:r>
        <w:rPr>
          <w:rFonts w:hint="eastAsia" w:ascii="宋体" w:hAnsi="宋体" w:cs="宋体"/>
        </w:rPr>
        <w:t xml:space="preserve">（4）小、微企业</w:t>
      </w:r>
      <w:r>
        <w:rPr>
          <w:rFonts w:ascii="宋体" w:hAnsi="宋体" w:cs="宋体"/>
        </w:rPr>
      </w:r>
      <w:r/>
    </w:p>
    <w:p>
      <w:pPr>
        <w:pStyle w:val="1011"/>
        <w:ind w:firstLine="480"/>
        <w:spacing w:line="360" w:lineRule="auto"/>
        <w:rPr>
          <w:rFonts w:ascii="宋体" w:hAnsi="宋体"/>
          <w:sz w:val="24"/>
          <w:szCs w:val="24"/>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sz w:val="24"/>
          <w:szCs w:val="24"/>
        </w:rPr>
        <w:t xml:space="preserve">，</w:t>
      </w:r>
      <w:r>
        <w:rPr>
          <w:rFonts w:hint="eastAsia" w:ascii="宋体" w:hAnsi="宋体"/>
          <w:b/>
          <w:bCs/>
          <w:sz w:val="22"/>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sz w:val="22"/>
          <w:szCs w:val="24"/>
        </w:rPr>
        <w:t xml:space="preserve">。</w:t>
      </w:r>
      <w:r>
        <w:rPr>
          <w:rFonts w:ascii="宋体" w:hAnsi="宋体"/>
          <w:sz w:val="24"/>
          <w:szCs w:val="24"/>
        </w:rPr>
      </w:r>
      <w:r/>
    </w:p>
    <w:p>
      <w:pPr>
        <w:pStyle w:val="1011"/>
        <w:ind w:firstLine="480"/>
        <w:spacing w:line="360" w:lineRule="auto"/>
        <w:rPr>
          <w:rFonts w:ascii="宋体" w:hAnsi="宋体"/>
          <w:sz w:val="22"/>
          <w:szCs w:val="24"/>
        </w:rPr>
      </w:pPr>
      <w:r>
        <w:rPr>
          <w:rFonts w:hint="eastAsia" w:ascii="宋体" w:hAnsi="宋体"/>
          <w:sz w:val="22"/>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bCs/>
          <w:sz w:val="22"/>
          <w:szCs w:val="24"/>
        </w:rPr>
        <w:t xml:space="preserve">服务类项目中供应商若使用退休人员，将不享受相关扶持政策</w:t>
      </w:r>
      <w:r>
        <w:rPr>
          <w:rFonts w:hint="eastAsia" w:ascii="宋体" w:hAnsi="宋体"/>
          <w:sz w:val="22"/>
          <w:szCs w:val="24"/>
        </w:rPr>
        <w:t xml:space="preserve">。</w:t>
      </w:r>
      <w:r>
        <w:rPr>
          <w:rFonts w:ascii="宋体" w:hAnsi="宋体"/>
          <w:sz w:val="22"/>
          <w:szCs w:val="24"/>
        </w:rPr>
      </w:r>
      <w:r/>
    </w:p>
    <w:p>
      <w:pPr>
        <w:pStyle w:val="1011"/>
        <w:ind w:firstLine="480"/>
        <w:spacing w:line="360" w:lineRule="auto"/>
        <w:rPr>
          <w:rFonts w:ascii="宋体" w:hAnsi="宋体"/>
          <w:bCs/>
          <w:sz w:val="22"/>
          <w:szCs w:val="24"/>
        </w:rPr>
      </w:pPr>
      <w:r>
        <w:rPr>
          <w:rFonts w:hint="eastAsia" w:ascii="宋体" w:hAnsi="宋体"/>
          <w:bCs/>
          <w:sz w:val="22"/>
          <w:szCs w:val="24"/>
        </w:rPr>
        <w:t xml:space="preserve">根据《政府采购促进中小企业发展管理办法》（财库〔</w:t>
      </w:r>
      <w:r>
        <w:rPr>
          <w:rFonts w:ascii="宋体" w:hAnsi="宋体"/>
          <w:bCs/>
          <w:sz w:val="22"/>
          <w:szCs w:val="24"/>
        </w:rPr>
        <w:t xml:space="preserve">2020</w:t>
      </w:r>
      <w:r>
        <w:rPr>
          <w:rFonts w:hint="eastAsia" w:ascii="宋体" w:hAnsi="宋体"/>
          <w:bCs/>
          <w:sz w:val="22"/>
          <w:szCs w:val="24"/>
        </w:rPr>
        <w:t xml:space="preserve">〕</w:t>
      </w:r>
      <w:r>
        <w:rPr>
          <w:rFonts w:ascii="宋体" w:hAnsi="宋体"/>
          <w:bCs/>
          <w:sz w:val="22"/>
          <w:szCs w:val="24"/>
        </w:rPr>
        <w:t xml:space="preserve">46</w:t>
      </w:r>
      <w:r>
        <w:rPr>
          <w:rFonts w:hint="eastAsia" w:ascii="宋体" w:hAnsi="宋体"/>
          <w:bCs/>
          <w:sz w:val="22"/>
          <w:szCs w:val="24"/>
        </w:rPr>
        <w:t xml:space="preserve">号）及《中小企业划型标准规定》（工信部联企业〔</w:t>
      </w:r>
      <w:r>
        <w:rPr>
          <w:rFonts w:ascii="宋体" w:hAnsi="宋体"/>
          <w:bCs/>
          <w:sz w:val="22"/>
          <w:szCs w:val="24"/>
        </w:rPr>
        <w:t xml:space="preserve">2011</w:t>
      </w:r>
      <w:r>
        <w:rPr>
          <w:rFonts w:hint="eastAsia" w:ascii="宋体" w:hAnsi="宋体"/>
          <w:bCs/>
          <w:sz w:val="22"/>
          <w:szCs w:val="24"/>
        </w:rPr>
        <w:t xml:space="preserve">〕</w:t>
      </w:r>
      <w:r>
        <w:rPr>
          <w:rFonts w:ascii="宋体" w:hAnsi="宋体"/>
          <w:bCs/>
          <w:sz w:val="22"/>
          <w:szCs w:val="24"/>
        </w:rPr>
        <w:t xml:space="preserve">300</w:t>
      </w:r>
      <w:r>
        <w:rPr>
          <w:rFonts w:hint="eastAsia" w:ascii="宋体" w:hAnsi="宋体"/>
          <w:bCs/>
          <w:sz w:val="22"/>
          <w:szCs w:val="24"/>
        </w:rPr>
        <w:t xml:space="preserve">号），本采购项目对应的中小企业划分标准所属行业为：</w:t>
      </w:r>
      <w:r>
        <w:rPr>
          <w:rFonts w:hint="eastAsia" w:ascii="宋体" w:hAnsi="宋体" w:cs="宋体"/>
          <w:b/>
          <w:bCs/>
          <w:sz w:val="20"/>
        </w:rPr>
        <w:t xml:space="preserve">其他未列明行业</w:t>
      </w:r>
      <w:r>
        <w:rPr>
          <w:rFonts w:hint="eastAsia" w:ascii="宋体" w:hAnsi="宋体"/>
          <w:bCs/>
          <w:sz w:val="22"/>
          <w:szCs w:val="24"/>
        </w:rPr>
        <w:t xml:space="preserve">。</w:t>
      </w:r>
      <w:r>
        <w:rPr>
          <w:rFonts w:ascii="宋体" w:hAnsi="宋体"/>
          <w:bCs/>
          <w:sz w:val="22"/>
          <w:szCs w:val="24"/>
        </w:rPr>
      </w:r>
      <w:r/>
    </w:p>
    <w:p>
      <w:pPr>
        <w:pStyle w:val="1011"/>
        <w:ind w:firstLine="480"/>
        <w:spacing w:line="360" w:lineRule="auto"/>
        <w:rPr>
          <w:rFonts w:ascii="宋体" w:hAnsi="宋体"/>
          <w:sz w:val="22"/>
          <w:szCs w:val="24"/>
        </w:rPr>
      </w:pPr>
      <w:r>
        <w:rPr>
          <w:rFonts w:ascii="宋体" w:hAnsi="宋体"/>
          <w:sz w:val="22"/>
          <w:szCs w:val="24"/>
        </w:rPr>
        <w:t xml:space="preserve">（</w:t>
      </w:r>
      <w:r>
        <w:rPr>
          <w:rFonts w:hint="eastAsia" w:ascii="宋体" w:hAnsi="宋体"/>
          <w:sz w:val="22"/>
          <w:szCs w:val="24"/>
        </w:rPr>
        <w:t xml:space="preserve">5</w:t>
      </w:r>
      <w:r>
        <w:rPr>
          <w:rFonts w:ascii="宋体" w:hAnsi="宋体"/>
          <w:sz w:val="22"/>
          <w:szCs w:val="24"/>
        </w:rPr>
        <w:t xml:space="preserve">）</w:t>
      </w:r>
      <w:r>
        <w:rPr>
          <w:rFonts w:hint="eastAsia" w:ascii="宋体" w:hAnsi="宋体"/>
          <w:sz w:val="22"/>
          <w:szCs w:val="24"/>
        </w:rPr>
        <w:t xml:space="preserve">残疾人福利性单位</w:t>
      </w:r>
      <w:r>
        <w:rPr>
          <w:rFonts w:ascii="宋体" w:hAnsi="宋体"/>
          <w:sz w:val="22"/>
          <w:szCs w:val="24"/>
        </w:rPr>
      </w:r>
      <w:r/>
    </w:p>
    <w:p>
      <w:pPr>
        <w:pStyle w:val="1011"/>
        <w:ind w:firstLine="480"/>
        <w:spacing w:line="360" w:lineRule="auto"/>
        <w:rPr>
          <w:rFonts w:ascii="宋体" w:hAnsi="宋体"/>
          <w:sz w:val="22"/>
          <w:szCs w:val="24"/>
        </w:rPr>
      </w:pPr>
      <w:r>
        <w:rPr>
          <w:rFonts w:hint="eastAsia" w:ascii="宋体" w:hAnsi="宋体"/>
          <w:sz w:val="22"/>
          <w:szCs w:val="24"/>
        </w:rPr>
        <w:t xml:space="preserve">根据《关于促进残疾人就业政府采购政策的通知》（财库〔</w:t>
      </w:r>
      <w:r>
        <w:rPr>
          <w:rFonts w:ascii="宋体" w:hAnsi="宋体"/>
          <w:sz w:val="22"/>
          <w:szCs w:val="24"/>
        </w:rPr>
        <w:t xml:space="preserve">2017</w:t>
      </w:r>
      <w:r>
        <w:rPr>
          <w:rFonts w:hint="eastAsia" w:ascii="宋体" w:hAnsi="宋体"/>
          <w:sz w:val="22"/>
          <w:szCs w:val="24"/>
        </w:rPr>
        <w:t xml:space="preserve">〕</w:t>
      </w:r>
      <w:r>
        <w:rPr>
          <w:rFonts w:ascii="宋体" w:hAnsi="宋体"/>
          <w:sz w:val="22"/>
          <w:szCs w:val="24"/>
        </w:rPr>
        <w:t xml:space="preserve">141</w:t>
      </w:r>
      <w:r>
        <w:rPr>
          <w:rFonts w:hint="eastAsia" w:ascii="宋体" w:hAnsi="宋体"/>
          <w:sz w:val="22"/>
          <w:szCs w:val="24"/>
        </w:rPr>
        <w:t xml:space="preserve">号）的相关规定，在政府采购活动中残疾人福利性单位视同小型、微型企业，享受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sz w:val="22"/>
          <w:szCs w:val="24"/>
        </w:rPr>
      </w:r>
      <w:r/>
    </w:p>
    <w:p>
      <w:pPr>
        <w:pStyle w:val="1011"/>
        <w:ind w:firstLine="480"/>
        <w:spacing w:line="360" w:lineRule="auto"/>
        <w:rPr>
          <w:rFonts w:ascii="宋体" w:hAnsi="宋体"/>
          <w:sz w:val="22"/>
          <w:szCs w:val="24"/>
        </w:rPr>
      </w:pPr>
      <w:r>
        <w:rPr>
          <w:rFonts w:ascii="宋体" w:hAnsi="宋体"/>
          <w:sz w:val="22"/>
          <w:szCs w:val="24"/>
        </w:rPr>
        <w:t xml:space="preserve">（</w:t>
      </w:r>
      <w:r>
        <w:rPr>
          <w:rFonts w:hint="eastAsia" w:ascii="宋体" w:hAnsi="宋体"/>
          <w:sz w:val="22"/>
          <w:szCs w:val="24"/>
        </w:rPr>
        <w:t xml:space="preserve">6</w:t>
      </w:r>
      <w:r>
        <w:rPr>
          <w:rFonts w:ascii="宋体" w:hAnsi="宋体"/>
          <w:sz w:val="22"/>
          <w:szCs w:val="24"/>
        </w:rPr>
        <w:t xml:space="preserve">）</w:t>
      </w:r>
      <w:r>
        <w:rPr>
          <w:rFonts w:hint="eastAsia" w:ascii="宋体" w:hAnsi="宋体"/>
          <w:sz w:val="22"/>
          <w:szCs w:val="24"/>
        </w:rPr>
        <w:t xml:space="preserve">监狱企业</w:t>
      </w:r>
      <w:r>
        <w:rPr>
          <w:rFonts w:ascii="宋体" w:hAnsi="宋体"/>
          <w:sz w:val="22"/>
          <w:szCs w:val="24"/>
        </w:rPr>
      </w:r>
      <w:r/>
    </w:p>
    <w:p>
      <w:pPr>
        <w:pStyle w:val="1011"/>
        <w:ind w:firstLine="480"/>
        <w:spacing w:line="360" w:lineRule="auto"/>
        <w:rPr>
          <w:rFonts w:ascii="宋体" w:hAnsi="宋体"/>
          <w:sz w:val="22"/>
          <w:szCs w:val="24"/>
        </w:rPr>
      </w:pPr>
      <w:r>
        <w:rPr>
          <w:rFonts w:hint="eastAsia" w:ascii="宋体" w:hAnsi="宋体"/>
          <w:sz w:val="22"/>
          <w:szCs w:val="24"/>
        </w:rPr>
        <w:t xml:space="preserve">根据《关于政府采购支持监狱企业发展有关问题的通知》（财库〔</w:t>
      </w:r>
      <w:r>
        <w:rPr>
          <w:rFonts w:ascii="宋体" w:hAnsi="宋体"/>
          <w:sz w:val="22"/>
          <w:szCs w:val="24"/>
        </w:rPr>
        <w:t xml:space="preserve">2014</w:t>
      </w:r>
      <w:r>
        <w:rPr>
          <w:rFonts w:hint="eastAsia" w:ascii="宋体" w:hAnsi="宋体"/>
          <w:sz w:val="22"/>
          <w:szCs w:val="24"/>
        </w:rPr>
        <w:t xml:space="preserve">〕</w:t>
      </w:r>
      <w:r>
        <w:rPr>
          <w:rFonts w:ascii="宋体" w:hAnsi="宋体"/>
          <w:sz w:val="22"/>
          <w:szCs w:val="24"/>
        </w:rPr>
        <w:t xml:space="preserve">68</w:t>
      </w:r>
      <w:r>
        <w:rPr>
          <w:rFonts w:hint="eastAsia" w:ascii="宋体" w:hAnsi="宋体"/>
          <w:sz w:val="22"/>
          <w:szCs w:val="24"/>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sz w:val="22"/>
          <w:szCs w:val="24"/>
        </w:rPr>
      </w:r>
      <w:r/>
    </w:p>
    <w:p>
      <w:pPr>
        <w:pStyle w:val="1011"/>
        <w:ind w:firstLine="480"/>
        <w:spacing w:line="360" w:lineRule="auto"/>
        <w:tabs>
          <w:tab w:val="left" w:pos="753" w:leader="none"/>
        </w:tabs>
        <w:rPr>
          <w:rFonts w:ascii="宋体" w:hAnsi="宋体"/>
          <w:b/>
          <w:bCs/>
          <w:sz w:val="24"/>
          <w:szCs w:val="24"/>
        </w:rPr>
      </w:pPr>
      <w:r>
        <w:rPr>
          <w:rFonts w:hint="eastAsia" w:ascii="宋体" w:hAnsi="宋体"/>
          <w:sz w:val="22"/>
          <w:szCs w:val="24"/>
        </w:rPr>
        <w:t xml:space="preserve">（7）</w:t>
      </w:r>
      <w:r>
        <w:rPr>
          <w:rFonts w:hint="eastAsia" w:ascii="宋体" w:hAnsi="宋体" w:cs="宋体"/>
          <w:sz w:val="24"/>
          <w:szCs w:val="24"/>
        </w:rPr>
        <w:t xml:space="preserve">若供应商提供的声明函或认定证明为虚假材料，按“政府采购法”相关规定处理并报请政府监管部门给予行政处罚。</w:t>
      </w:r>
      <w:r>
        <w:rPr>
          <w:rFonts w:ascii="宋体" w:hAnsi="宋体"/>
          <w:b/>
          <w:bCs/>
          <w:sz w:val="24"/>
          <w:szCs w:val="24"/>
        </w:rPr>
      </w:r>
      <w:r/>
    </w:p>
    <w:p>
      <w:pPr>
        <w:pStyle w:val="1011"/>
        <w:ind w:firstLine="480"/>
        <w:spacing w:line="360" w:lineRule="auto"/>
        <w:rPr>
          <w:rFonts w:ascii="宋体" w:hAnsi="宋体"/>
          <w:sz w:val="22"/>
          <w:szCs w:val="24"/>
        </w:rPr>
      </w:pPr>
      <w:r>
        <w:rPr>
          <w:rFonts w:ascii="宋体" w:hAnsi="宋体"/>
          <w:sz w:val="22"/>
          <w:szCs w:val="24"/>
        </w:rPr>
      </w:r>
      <w:r/>
    </w:p>
    <w:p>
      <w:pPr>
        <w:pStyle w:val="1011"/>
        <w:ind w:firstLine="480"/>
        <w:spacing w:line="360" w:lineRule="auto"/>
        <w:rPr>
          <w:rFonts w:ascii="宋体" w:hAnsi="宋体"/>
          <w:b/>
          <w:bCs/>
          <w:sz w:val="24"/>
          <w:szCs w:val="24"/>
        </w:rPr>
      </w:pPr>
      <w:r>
        <w:rPr>
          <w:rFonts w:ascii="宋体" w:hAnsi="宋体"/>
          <w:b/>
          <w:bCs/>
          <w:sz w:val="24"/>
          <w:szCs w:val="24"/>
        </w:rPr>
      </w:r>
      <w:r/>
    </w:p>
    <w:p>
      <w:pPr>
        <w:pStyle w:val="1011"/>
        <w:ind w:firstLine="480"/>
        <w:spacing w:line="360" w:lineRule="auto"/>
        <w:rPr>
          <w:rFonts w:ascii="宋体" w:hAnsi="宋体"/>
          <w:b/>
          <w:bCs/>
          <w:sz w:val="24"/>
          <w:szCs w:val="24"/>
        </w:rPr>
      </w:pPr>
      <w:r>
        <w:rPr>
          <w:rFonts w:ascii="宋体" w:hAnsi="宋体"/>
          <w:b/>
          <w:bCs/>
          <w:sz w:val="24"/>
          <w:szCs w:val="24"/>
        </w:rPr>
      </w:r>
      <w:r/>
    </w:p>
    <w:p>
      <w:pPr>
        <w:pStyle w:val="1011"/>
        <w:ind w:firstLine="420"/>
        <w:spacing w:line="360" w:lineRule="auto"/>
        <w:rPr>
          <w:rFonts w:ascii="宋体" w:hAnsi="宋体" w:cs="宋体"/>
        </w:rPr>
      </w:pPr>
      <w:r>
        <w:rPr>
          <w:rFonts w:ascii="宋体" w:hAnsi="宋体" w:cs="宋体"/>
        </w:rPr>
      </w:r>
      <w:r/>
    </w:p>
    <w:p>
      <w:pPr>
        <w:pStyle w:val="1011"/>
        <w:ind w:left="3341"/>
        <w:spacing w:before="136" w:line="225" w:lineRule="auto"/>
        <w:rPr>
          <w:rFonts w:ascii="宋体" w:hAnsi="宋体" w:cs="宋体"/>
          <w:b/>
          <w:bCs/>
          <w:spacing w:val="6"/>
          <w:sz w:val="31"/>
          <w:szCs w:val="31"/>
        </w:rPr>
        <w:outlineLvl w:val="0"/>
      </w:pPr>
      <w:r>
        <w:rPr>
          <w:rFonts w:ascii="宋体" w:hAnsi="宋体" w:cs="宋体"/>
          <w:b/>
          <w:bCs/>
          <w:spacing w:val="6"/>
          <w:sz w:val="31"/>
          <w:szCs w:val="31"/>
        </w:rPr>
      </w:r>
      <w:r/>
    </w:p>
    <w:p>
      <w:pPr>
        <w:pStyle w:val="1011"/>
        <w:ind w:left="3341"/>
        <w:spacing w:before="136" w:line="225" w:lineRule="auto"/>
        <w:rPr>
          <w:rFonts w:ascii="宋体" w:hAnsi="宋体" w:cs="宋体"/>
          <w:b/>
          <w:bCs/>
          <w:spacing w:val="6"/>
          <w:sz w:val="31"/>
          <w:szCs w:val="31"/>
        </w:rPr>
        <w:outlineLvl w:val="0"/>
      </w:pPr>
      <w:r>
        <w:rPr>
          <w:rFonts w:ascii="宋体" w:hAnsi="宋体" w:cs="宋体"/>
          <w:b/>
          <w:bCs/>
          <w:spacing w:val="6"/>
          <w:sz w:val="31"/>
          <w:szCs w:val="31"/>
        </w:rPr>
      </w:r>
      <w:r/>
    </w:p>
    <w:p>
      <w:pPr>
        <w:pStyle w:val="1011"/>
        <w:ind w:left="3341"/>
        <w:spacing w:before="136" w:line="225" w:lineRule="auto"/>
        <w:rPr>
          <w:rFonts w:ascii="宋体" w:hAnsi="宋体" w:cs="宋体"/>
          <w:b/>
          <w:bCs/>
          <w:spacing w:val="6"/>
          <w:sz w:val="31"/>
          <w:szCs w:val="31"/>
        </w:rPr>
        <w:outlineLvl w:val="0"/>
      </w:pPr>
      <w:r>
        <w:rPr>
          <w:rFonts w:ascii="宋体" w:hAnsi="宋体" w:cs="宋体"/>
          <w:b/>
          <w:bCs/>
          <w:spacing w:val="6"/>
          <w:sz w:val="31"/>
          <w:szCs w:val="31"/>
        </w:rPr>
      </w:r>
      <w:r/>
    </w:p>
    <w:p>
      <w:pPr>
        <w:pStyle w:val="1011"/>
        <w:ind w:left="3341"/>
        <w:spacing w:before="136" w:line="225" w:lineRule="auto"/>
        <w:rPr>
          <w:rFonts w:ascii="宋体" w:hAnsi="宋体" w:cs="宋体"/>
          <w:b/>
          <w:bCs/>
          <w:spacing w:val="6"/>
          <w:sz w:val="31"/>
          <w:szCs w:val="31"/>
        </w:rPr>
        <w:outlineLvl w:val="0"/>
      </w:pPr>
      <w:r>
        <w:rPr>
          <w:rFonts w:ascii="宋体" w:hAnsi="宋体" w:cs="宋体"/>
          <w:b/>
          <w:bCs/>
          <w:spacing w:val="6"/>
          <w:sz w:val="31"/>
          <w:szCs w:val="31"/>
        </w:rPr>
      </w:r>
      <w:r/>
    </w:p>
    <w:p>
      <w:pPr>
        <w:pStyle w:val="1011"/>
        <w:ind w:left="3341"/>
        <w:spacing w:before="136" w:line="225" w:lineRule="auto"/>
        <w:rPr>
          <w:rFonts w:ascii="宋体" w:hAnsi="宋体" w:cs="宋体"/>
          <w:sz w:val="31"/>
          <w:szCs w:val="31"/>
        </w:rPr>
        <w:outlineLvl w:val="0"/>
      </w:pPr>
      <w:r/>
      <w:bookmarkStart w:id="106" w:name="_Toc212041564"/>
      <w:r>
        <w:rPr>
          <w:rFonts w:ascii="宋体" w:hAnsi="宋体" w:cs="宋体"/>
          <w:b/>
          <w:bCs/>
          <w:spacing w:val="6"/>
          <w:sz w:val="31"/>
          <w:szCs w:val="31"/>
        </w:rPr>
        <w:t xml:space="preserve">第五章合同主要条款</w:t>
      </w:r>
      <w:bookmarkEnd w:id="106"/>
      <w:r>
        <w:rPr>
          <w:rFonts w:ascii="宋体" w:hAnsi="宋体" w:cs="宋体"/>
          <w:sz w:val="31"/>
          <w:szCs w:val="31"/>
        </w:rPr>
      </w:r>
      <w:r/>
    </w:p>
    <w:p>
      <w:pPr>
        <w:pStyle w:val="1011"/>
        <w:ind w:left="155"/>
        <w:spacing w:before="223" w:line="221" w:lineRule="auto"/>
        <w:rPr>
          <w:rFonts w:ascii="宋体" w:hAnsi="宋体" w:cs="宋体"/>
        </w:rPr>
      </w:pPr>
      <w:r>
        <w:rPr>
          <w:rFonts w:ascii="宋体" w:hAnsi="宋体" w:cs="宋体"/>
          <w:spacing w:val="-6"/>
        </w:rPr>
        <w:t xml:space="preserve">甲方（采购人</w:t>
      </w:r>
      <w:r>
        <w:rPr>
          <w:rFonts w:ascii="宋体" w:hAnsi="宋体" w:cs="宋体"/>
        </w:rPr>
        <w:t xml:space="preserve">）：</w:t>
      </w:r>
      <w:r>
        <w:rPr>
          <w:rFonts w:ascii="宋体" w:hAnsi="宋体" w:cs="宋体"/>
          <w:spacing w:val="-6"/>
        </w:rPr>
        <w:t xml:space="preserve">单位地址：</w:t>
      </w:r>
      <w:r>
        <w:rPr>
          <w:rFonts w:ascii="宋体" w:hAnsi="宋体" w:cs="宋体"/>
        </w:rPr>
      </w:r>
      <w:r/>
    </w:p>
    <w:p>
      <w:pPr>
        <w:pStyle w:val="1011"/>
        <w:ind w:left="145"/>
        <w:spacing w:before="216" w:line="221" w:lineRule="auto"/>
        <w:rPr>
          <w:rFonts w:ascii="宋体" w:hAnsi="宋体" w:cs="宋体"/>
        </w:rPr>
      </w:pPr>
      <w:r>
        <w:rPr>
          <w:rFonts w:ascii="宋体" w:hAnsi="宋体" w:cs="宋体"/>
          <w:spacing w:val="-5"/>
        </w:rPr>
        <w:t xml:space="preserve">乙方（供应商</w:t>
      </w:r>
      <w:r>
        <w:rPr>
          <w:rFonts w:ascii="宋体" w:hAnsi="宋体" w:cs="宋体"/>
          <w:spacing w:val="-1"/>
        </w:rPr>
        <w:t xml:space="preserve">）：</w:t>
      </w:r>
      <w:r>
        <w:rPr>
          <w:rFonts w:ascii="宋体" w:hAnsi="宋体" w:cs="宋体"/>
          <w:spacing w:val="-5"/>
        </w:rPr>
        <w:t xml:space="preserve">单位地址：</w:t>
      </w:r>
      <w:r>
        <w:rPr>
          <w:rFonts w:ascii="宋体" w:hAnsi="宋体" w:cs="宋体"/>
        </w:rPr>
      </w:r>
      <w:r/>
    </w:p>
    <w:p>
      <w:pPr>
        <w:pStyle w:val="1011"/>
        <w:ind w:left="128"/>
        <w:spacing w:before="217" w:line="222" w:lineRule="auto"/>
        <w:rPr>
          <w:rFonts w:ascii="宋体" w:hAnsi="宋体" w:cs="宋体"/>
        </w:rPr>
      </w:pPr>
      <w:r>
        <w:rPr>
          <w:rFonts w:ascii="宋体" w:hAnsi="宋体" w:cs="宋体"/>
          <w:spacing w:val="-4"/>
        </w:rPr>
        <w:t xml:space="preserve">签订日期：签订地点：</w:t>
      </w:r>
      <w:r>
        <w:rPr>
          <w:rFonts w:ascii="宋体" w:hAnsi="宋体" w:cs="宋体"/>
        </w:rPr>
      </w:r>
      <w:r/>
    </w:p>
    <w:p>
      <w:pPr>
        <w:pStyle w:val="1182"/>
        <w:spacing w:line="453" w:lineRule="auto"/>
      </w:pPr>
      <w:r/>
      <w:r/>
    </w:p>
    <w:p>
      <w:pPr>
        <w:pStyle w:val="1011"/>
        <w:ind w:left="36" w:firstLine="420"/>
        <w:jc w:val="both"/>
        <w:spacing w:before="68" w:line="361" w:lineRule="auto"/>
        <w:rPr>
          <w:rFonts w:ascii="宋体" w:hAnsi="宋体" w:cs="宋体"/>
        </w:rPr>
      </w:pPr>
      <w:r>
        <w:rPr>
          <w:rFonts w:ascii="宋体" w:hAnsi="宋体" w:cs="宋体"/>
        </w:rPr>
        <w:t xml:space="preserve">根据甲方申请并经</w:t>
      </w:r>
      <w:r>
        <w:rPr>
          <w:rFonts w:ascii="宋体" w:hAnsi="宋体" w:cs="宋体"/>
          <w:u w:val="single"/>
        </w:rPr>
        <w:t xml:space="preserve">苏州市吴江区财政局</w:t>
      </w:r>
      <w:r>
        <w:rPr>
          <w:rFonts w:ascii="宋体" w:hAnsi="宋体" w:cs="宋体"/>
        </w:rPr>
        <w:t xml:space="preserve">核准 </w:t>
      </w:r>
      <w:r>
        <w:rPr>
          <w:rFonts w:ascii="宋体" w:hAnsi="宋体" w:cs="宋体"/>
          <w:u w:val="single"/>
        </w:rPr>
        <w:t xml:space="preserve">2025</w:t>
      </w:r>
      <w:r>
        <w:rPr>
          <w:rFonts w:hint="eastAsia" w:ascii="宋体" w:hAnsi="宋体" w:cs="宋体"/>
          <w:u w:val="single"/>
        </w:rPr>
        <w:t xml:space="preserve">年横扇街道生活垃圾填埋场渗滤液委托处置服务</w:t>
      </w:r>
      <w:r>
        <w:rPr>
          <w:rFonts w:ascii="宋体" w:hAnsi="宋体" w:cs="宋体"/>
          <w:spacing w:val="-1"/>
        </w:rPr>
        <w:t xml:space="preserve">政府采购计划，依据甲方委托</w:t>
      </w:r>
      <w:r>
        <w:rPr>
          <w:rFonts w:ascii="宋体" w:hAnsi="宋体" w:cs="宋体"/>
          <w:spacing w:val="-1"/>
          <w:u w:val="single"/>
        </w:rPr>
        <w:t xml:space="preserve">苏州常发工程咨询有限公司</w:t>
      </w:r>
      <w:r>
        <w:rPr>
          <w:rFonts w:ascii="宋体" w:hAnsi="宋体" w:cs="宋体"/>
          <w:spacing w:val="-1"/>
        </w:rPr>
        <w:t xml:space="preserve">进行本项目政府采购的</w:t>
      </w:r>
      <w:r>
        <w:rPr>
          <w:rFonts w:ascii="宋体" w:hAnsi="宋体" w:cs="宋体"/>
          <w:spacing w:val="-2"/>
        </w:rPr>
        <w:t xml:space="preserve">成交结</w:t>
      </w:r>
      <w:r>
        <w:rPr>
          <w:rFonts w:ascii="宋体" w:hAnsi="宋体" w:cs="宋体"/>
          <w:spacing w:val="1"/>
        </w:rPr>
        <w:t xml:space="preserve">果，确定乙方为本次成交供应商，现依照招标文件、乙方的投标文件及相关文件的内容，签订本合同书。</w:t>
      </w:r>
      <w:r>
        <w:rPr>
          <w:rFonts w:ascii="宋体" w:hAnsi="宋体" w:cs="宋体"/>
        </w:rPr>
      </w:r>
      <w:r/>
    </w:p>
    <w:p>
      <w:pPr>
        <w:pStyle w:val="1011"/>
        <w:ind w:left="462"/>
        <w:spacing w:before="93" w:line="221" w:lineRule="auto"/>
        <w:rPr>
          <w:rFonts w:ascii="宋体" w:hAnsi="宋体" w:cs="宋体"/>
        </w:rPr>
      </w:pPr>
      <w:r>
        <w:rPr>
          <w:rFonts w:ascii="宋体" w:hAnsi="宋体" w:cs="宋体"/>
          <w:b/>
          <w:bCs/>
          <w:spacing w:val="-5"/>
        </w:rPr>
        <w:t xml:space="preserve">一、下列文件为本合同不可分割部分：</w:t>
      </w:r>
      <w:r>
        <w:rPr>
          <w:rFonts w:ascii="宋体" w:hAnsi="宋体" w:cs="宋体"/>
        </w:rPr>
      </w:r>
      <w:r/>
    </w:p>
    <w:p>
      <w:pPr>
        <w:pStyle w:val="1011"/>
        <w:ind w:left="463"/>
        <w:spacing w:before="216" w:line="221" w:lineRule="auto"/>
        <w:rPr>
          <w:rFonts w:ascii="宋体" w:hAnsi="宋体" w:cs="宋体"/>
        </w:rPr>
      </w:pPr>
      <w:r>
        <w:rPr>
          <w:rFonts w:ascii="宋体" w:hAnsi="宋体" w:cs="宋体"/>
          <w:spacing w:val="-3"/>
        </w:rPr>
        <w:t xml:space="preserve">（一）中标（成交）通知书；</w:t>
      </w:r>
      <w:r>
        <w:rPr>
          <w:rFonts w:ascii="宋体" w:hAnsi="宋体" w:cs="宋体"/>
        </w:rPr>
      </w:r>
      <w:r/>
    </w:p>
    <w:p>
      <w:pPr>
        <w:pStyle w:val="1011"/>
        <w:ind w:left="463"/>
        <w:spacing w:before="217" w:line="221" w:lineRule="auto"/>
        <w:rPr>
          <w:rFonts w:ascii="宋体" w:hAnsi="宋体" w:cs="宋体"/>
        </w:rPr>
      </w:pPr>
      <w:r>
        <w:rPr>
          <w:rFonts w:ascii="宋体" w:hAnsi="宋体" w:cs="宋体"/>
          <w:spacing w:val="-4"/>
        </w:rPr>
        <w:t xml:space="preserve">（二）招标文件及澄清（如有</w:t>
      </w:r>
      <w:r>
        <w:rPr>
          <w:rFonts w:ascii="宋体" w:hAnsi="宋体" w:cs="宋体"/>
          <w:spacing w:val="19"/>
        </w:rPr>
        <w:t xml:space="preserve">）；</w:t>
      </w:r>
      <w:r>
        <w:rPr>
          <w:rFonts w:ascii="宋体" w:hAnsi="宋体" w:cs="宋体"/>
        </w:rPr>
      </w:r>
      <w:r/>
    </w:p>
    <w:p>
      <w:pPr>
        <w:pStyle w:val="1011"/>
        <w:ind w:left="463"/>
        <w:spacing w:before="217" w:line="221" w:lineRule="auto"/>
        <w:rPr>
          <w:rFonts w:ascii="宋体" w:hAnsi="宋体" w:cs="宋体"/>
        </w:rPr>
      </w:pPr>
      <w:r>
        <w:rPr>
          <w:rFonts w:ascii="宋体" w:hAnsi="宋体" w:cs="宋体"/>
          <w:spacing w:val="-1"/>
        </w:rPr>
        <w:t xml:space="preserve">（三）乙方中标（成交）的投标（响应）文件；</w:t>
      </w:r>
      <w:r>
        <w:rPr>
          <w:rFonts w:ascii="宋体" w:hAnsi="宋体" w:cs="宋体"/>
        </w:rPr>
      </w:r>
      <w:r/>
    </w:p>
    <w:p>
      <w:pPr>
        <w:pStyle w:val="1011"/>
        <w:ind w:left="463"/>
        <w:spacing w:before="216" w:line="221" w:lineRule="auto"/>
        <w:rPr>
          <w:rFonts w:ascii="宋体" w:hAnsi="宋体" w:cs="宋体"/>
        </w:rPr>
      </w:pPr>
      <w:r>
        <w:rPr>
          <w:rFonts w:ascii="宋体" w:hAnsi="宋体" w:cs="宋体"/>
          <w:spacing w:val="-1"/>
        </w:rPr>
        <w:t xml:space="preserve">（四）乙方在采购过程中所作的其他承诺、声明、书面澄清等（如有）。</w:t>
      </w:r>
      <w:r>
        <w:rPr>
          <w:rFonts w:ascii="宋体" w:hAnsi="宋体" w:cs="宋体"/>
        </w:rPr>
      </w:r>
      <w:r/>
    </w:p>
    <w:p>
      <w:pPr>
        <w:pStyle w:val="1011"/>
        <w:ind w:left="462"/>
        <w:spacing w:before="217" w:line="220" w:lineRule="auto"/>
        <w:rPr>
          <w:rFonts w:ascii="宋体" w:hAnsi="宋体" w:cs="宋体"/>
        </w:rPr>
      </w:pPr>
      <w:r>
        <w:rPr>
          <w:rFonts w:ascii="宋体" w:hAnsi="宋体" w:cs="宋体"/>
          <w:b/>
          <w:bCs/>
          <w:spacing w:val="-3"/>
        </w:rPr>
        <w:t xml:space="preserve">二、价格与支付</w:t>
      </w:r>
      <w:r>
        <w:rPr>
          <w:rFonts w:ascii="宋体" w:hAnsi="宋体" w:cs="宋体"/>
        </w:rPr>
      </w:r>
      <w:r/>
    </w:p>
    <w:p>
      <w:pPr>
        <w:pStyle w:val="1011"/>
        <w:ind w:left="37" w:right="70" w:firstLine="434"/>
        <w:spacing w:before="218" w:line="373" w:lineRule="auto"/>
        <w:rPr>
          <w:rFonts w:ascii="宋体" w:hAnsi="宋体" w:cs="宋体"/>
        </w:rPr>
      </w:pPr>
      <w:r>
        <w:rPr>
          <w:rFonts w:ascii="宋体" w:hAnsi="宋体" w:cs="宋体"/>
          <w:spacing w:val="-1"/>
        </w:rPr>
        <w:t xml:space="preserve">1、合同金额为人民币（小写元</w:t>
      </w:r>
      <w:r>
        <w:rPr>
          <w:rFonts w:ascii="宋体" w:hAnsi="宋体" w:cs="宋体"/>
          <w:spacing w:val="-3"/>
        </w:rPr>
        <w:t xml:space="preserve">），</w:t>
      </w:r>
      <w:r>
        <w:rPr>
          <w:rFonts w:ascii="宋体" w:hAnsi="宋体" w:cs="宋体"/>
          <w:spacing w:val="-1"/>
        </w:rPr>
        <w:t xml:space="preserve">综合单价为元/吨，包含渗滤液处</w:t>
      </w:r>
      <w:r>
        <w:rPr>
          <w:rFonts w:ascii="宋体" w:hAnsi="宋体" w:cs="宋体"/>
        </w:rPr>
        <w:t xml:space="preserve">理到达标排放过程中所需的全部费用，包括</w:t>
      </w:r>
      <w:r>
        <w:rPr>
          <w:rFonts w:ascii="宋体" w:hAnsi="宋体" w:cs="宋体"/>
          <w:spacing w:val="-1"/>
        </w:rPr>
        <w:t xml:space="preserve">但不限于服务全过程所需的全部设备、材料、配件、药剂、膜</w:t>
      </w:r>
      <w:r>
        <w:rPr>
          <w:rFonts w:ascii="宋体" w:hAnsi="宋体" w:cs="宋体"/>
          <w:spacing w:val="-6"/>
        </w:rPr>
        <w:t xml:space="preserve">组件、润滑油等费用，以及设备日常维护费用、水质检验（每月一次）费用、人工费用（人员餐费、交通、</w:t>
      </w:r>
      <w:r>
        <w:rPr>
          <w:rFonts w:ascii="宋体" w:hAnsi="宋体" w:cs="宋体"/>
          <w:spacing w:val="-1"/>
        </w:rPr>
        <w:t xml:space="preserve">工资等）、公司技术人员往来项目现场交通费用、财务费用（开票、结算）等所有相关费用。同时，除非</w:t>
      </w:r>
      <w:r>
        <w:rPr>
          <w:rFonts w:ascii="宋体" w:hAnsi="宋体" w:cs="宋体"/>
        </w:rPr>
        <w:t xml:space="preserve">合同条款中另有规定，否则，综合单价在合同实施期间不因市场变化因</w:t>
      </w:r>
      <w:r>
        <w:rPr>
          <w:rFonts w:ascii="宋体" w:hAnsi="宋体" w:cs="宋体"/>
          <w:spacing w:val="-1"/>
        </w:rPr>
        <w:t xml:space="preserve">素而变动。</w:t>
      </w:r>
      <w:r>
        <w:rPr>
          <w:rFonts w:ascii="宋体" w:hAnsi="宋体" w:cs="宋体"/>
        </w:rPr>
      </w:r>
      <w:r/>
    </w:p>
    <w:p>
      <w:pPr>
        <w:pStyle w:val="1011"/>
        <w:ind w:left="459"/>
        <w:spacing w:before="219" w:line="221" w:lineRule="auto"/>
        <w:rPr>
          <w:rFonts w:ascii="宋体" w:hAnsi="宋体" w:cs="宋体"/>
        </w:rPr>
      </w:pPr>
      <w:r>
        <w:rPr>
          <w:rFonts w:ascii="宋体" w:hAnsi="宋体" w:cs="宋体"/>
          <w:spacing w:val="-4"/>
        </w:rPr>
        <w:t xml:space="preserve">2、结算说明</w:t>
      </w:r>
      <w:r>
        <w:rPr>
          <w:rFonts w:ascii="宋体" w:hAnsi="宋体" w:cs="宋体"/>
        </w:rPr>
      </w:r>
      <w:r/>
    </w:p>
    <w:p>
      <w:pPr>
        <w:pStyle w:val="1011"/>
        <w:ind w:left="463"/>
        <w:spacing w:before="216" w:line="360" w:lineRule="auto"/>
        <w:rPr>
          <w:rFonts w:ascii="宋体" w:hAnsi="宋体" w:cs="宋体"/>
        </w:rPr>
      </w:pPr>
      <w:r>
        <w:rPr>
          <w:rFonts w:ascii="宋体" w:hAnsi="宋体" w:cs="宋体"/>
          <w:spacing w:val="2"/>
        </w:rPr>
        <w:t xml:space="preserve">（1）渗滤液处理量是指当月月历日内渗滤液</w:t>
      </w:r>
      <w:r>
        <w:rPr>
          <w:rFonts w:ascii="宋体" w:hAnsi="宋体" w:cs="宋体"/>
          <w:spacing w:val="1"/>
        </w:rPr>
        <w:t xml:space="preserve">累积进水总量；出水量是指当月月历日内经处理后排放</w:t>
      </w:r>
      <w:r>
        <w:rPr>
          <w:rFonts w:ascii="宋体" w:hAnsi="宋体" w:cs="宋体"/>
          <w:spacing w:val="-1"/>
        </w:rPr>
        <w:t xml:space="preserve">的清水总量。数据按月汇报甲方，付款按季度结算。</w:t>
      </w:r>
      <w:r>
        <w:rPr>
          <w:rFonts w:hint="eastAsia" w:ascii="宋体" w:hAnsi="宋体" w:cs="宋体"/>
          <w:spacing w:val="-1"/>
        </w:rPr>
        <w:t xml:space="preserve">当日处理量≤40吨，按照实际日处理量结算，当日处理量大于40吨时，按照40吨/天结算。</w:t>
      </w:r>
      <w:r>
        <w:rPr>
          <w:rFonts w:ascii="宋体" w:hAnsi="宋体" w:cs="宋体"/>
        </w:rPr>
      </w:r>
      <w:r/>
    </w:p>
    <w:p>
      <w:pPr>
        <w:pStyle w:val="1011"/>
        <w:ind w:left="463"/>
        <w:spacing w:before="216" w:line="220" w:lineRule="auto"/>
        <w:rPr>
          <w:rFonts w:ascii="宋体" w:hAnsi="宋体" w:cs="宋体"/>
        </w:rPr>
      </w:pPr>
      <w:r>
        <w:rPr>
          <w:rFonts w:ascii="宋体" w:hAnsi="宋体" w:cs="宋体"/>
          <w:spacing w:val="-1"/>
        </w:rPr>
        <w:t xml:space="preserve">（2）处理单价：按照渗滤液处置服务招投标活动完成时确定的中标服务单价为准。</w:t>
      </w:r>
      <w:r>
        <w:rPr>
          <w:rFonts w:ascii="宋体" w:hAnsi="宋体" w:cs="宋体"/>
        </w:rPr>
      </w:r>
      <w:r/>
    </w:p>
    <w:p>
      <w:pPr>
        <w:pStyle w:val="1011"/>
        <w:ind w:left="37" w:right="96" w:firstLine="425"/>
        <w:spacing w:before="219" w:line="316" w:lineRule="auto"/>
        <w:rPr>
          <w:rFonts w:ascii="宋体" w:hAnsi="宋体" w:cs="宋体"/>
        </w:rPr>
      </w:pPr>
      <w:r>
        <w:rPr>
          <w:rFonts w:ascii="宋体" w:hAnsi="宋体" w:cs="宋体"/>
          <w:spacing w:val="1"/>
        </w:rPr>
        <w:t xml:space="preserve">（3）费用结算：结算方式按照中标综合单价×进水总量进行结算，并扣除考核扣款及水电费后，甲</w:t>
      </w:r>
      <w:r>
        <w:rPr>
          <w:rFonts w:ascii="宋体" w:hAnsi="宋体" w:cs="宋体"/>
          <w:spacing w:val="-3"/>
        </w:rPr>
        <w:t xml:space="preserve">方支付服务费。</w:t>
      </w:r>
      <w:r>
        <w:rPr>
          <w:rFonts w:ascii="宋体" w:hAnsi="宋体" w:cs="宋体"/>
        </w:rPr>
      </w:r>
      <w:r/>
    </w:p>
    <w:p>
      <w:pPr>
        <w:pStyle w:val="1011"/>
        <w:ind w:left="36" w:right="70" w:firstLine="424"/>
        <w:spacing w:before="218" w:line="373" w:lineRule="auto"/>
        <w:rPr>
          <w:rFonts w:ascii="宋体" w:hAnsi="宋体" w:cs="宋体"/>
        </w:rPr>
      </w:pPr>
      <w:r>
        <w:rPr>
          <w:rFonts w:ascii="宋体" w:hAnsi="宋体" w:cs="宋体"/>
          <w:spacing w:val="2"/>
        </w:rPr>
        <w:t xml:space="preserve">3、付款步骤：按季度结算支付，服务费用以转账方式支付，乙方每</w:t>
      </w:r>
      <w:r>
        <w:rPr>
          <w:rFonts w:ascii="宋体" w:hAnsi="宋体" w:cs="宋体"/>
          <w:spacing w:val="1"/>
        </w:rPr>
        <w:t xml:space="preserve">个结算周期在甲方结算日前凭确</w:t>
      </w:r>
      <w:r>
        <w:rPr>
          <w:rFonts w:ascii="宋体" w:hAnsi="宋体" w:cs="宋体"/>
        </w:rPr>
        <w:t xml:space="preserve">认的处理量汇总表以及每月出水水质检测报</w:t>
      </w:r>
      <w:r>
        <w:rPr>
          <w:rFonts w:ascii="宋体" w:hAnsi="宋体" w:cs="宋体"/>
          <w:spacing w:val="-1"/>
        </w:rPr>
        <w:t xml:space="preserve">告、月度运营记录详单、发票等其它相关材料，向甲方申请上一个结算周期服务费。经甲方审查符合要求的，由甲方根据财务流程在乙方提供合格的发票、甲方（或甲</w:t>
      </w:r>
      <w:r>
        <w:rPr>
          <w:rFonts w:ascii="宋体" w:hAnsi="宋体" w:cs="宋体"/>
          <w:spacing w:val="4"/>
        </w:rPr>
        <w:t xml:space="preserve">方监理单位）签章的验收证明资料等付款凭证后一个月内以银行转帐的方式向乙方支付上季度</w:t>
      </w:r>
      <w:r>
        <w:rPr>
          <w:rFonts w:ascii="宋体" w:hAnsi="宋体" w:cs="宋体"/>
          <w:spacing w:val="3"/>
        </w:rPr>
        <w:t xml:space="preserve">服务费用</w:t>
      </w:r>
      <w:r>
        <w:rPr>
          <w:rFonts w:ascii="宋体" w:hAnsi="宋体" w:cs="宋体"/>
          <w:spacing w:val="-2"/>
        </w:rPr>
        <w:t xml:space="preserve">（扣除考核扣款及水电费）。</w:t>
      </w:r>
      <w:r>
        <w:rPr>
          <w:rFonts w:ascii="宋体" w:hAnsi="宋体" w:cs="宋体"/>
        </w:rPr>
      </w:r>
      <w:r/>
    </w:p>
    <w:p>
      <w:pPr>
        <w:pStyle w:val="1011"/>
        <w:ind w:left="456"/>
        <w:spacing w:before="217" w:line="221" w:lineRule="auto"/>
        <w:rPr>
          <w:rFonts w:ascii="宋体" w:hAnsi="宋体" w:cs="宋体"/>
        </w:rPr>
      </w:pPr>
      <w:r>
        <w:rPr>
          <w:rFonts w:ascii="宋体" w:hAnsi="宋体" w:cs="宋体"/>
          <w:spacing w:val="-1"/>
        </w:rPr>
        <w:t xml:space="preserve">4、付款方式：银行转账</w:t>
      </w:r>
      <w:r>
        <w:rPr>
          <w:rFonts w:ascii="宋体" w:hAnsi="宋体" w:cs="宋体"/>
        </w:rPr>
      </w:r>
      <w:r/>
    </w:p>
    <w:p>
      <w:pPr>
        <w:pStyle w:val="1011"/>
        <w:ind w:left="461"/>
        <w:spacing w:before="216" w:line="221" w:lineRule="auto"/>
        <w:rPr>
          <w:rFonts w:ascii="宋体" w:hAnsi="宋体" w:cs="宋体"/>
        </w:rPr>
      </w:pPr>
      <w:r>
        <w:rPr>
          <w:rFonts w:ascii="宋体" w:hAnsi="宋体" w:cs="宋体"/>
          <w:spacing w:val="-1"/>
        </w:rPr>
        <w:t xml:space="preserve">5、乙方的银行账号信息如下：</w:t>
      </w:r>
      <w:r>
        <w:rPr>
          <w:rFonts w:ascii="宋体" w:hAnsi="宋体" w:cs="宋体"/>
        </w:rPr>
      </w:r>
      <w:r/>
    </w:p>
    <w:p>
      <w:pPr>
        <w:pStyle w:val="1011"/>
        <w:ind w:left="457"/>
        <w:spacing w:before="113" w:line="222" w:lineRule="auto"/>
        <w:rPr>
          <w:rFonts w:ascii="宋体" w:hAnsi="宋体" w:cs="宋体"/>
        </w:rPr>
      </w:pPr>
      <w:r>
        <w:rPr>
          <w:rFonts w:ascii="宋体" w:hAnsi="宋体" w:cs="宋体"/>
          <w:spacing w:val="-3"/>
        </w:rPr>
        <w:t xml:space="preserve">户名：</w:t>
      </w:r>
      <w:r>
        <w:rPr>
          <w:rFonts w:ascii="宋体" w:hAnsi="宋体" w:cs="宋体"/>
        </w:rPr>
      </w:r>
      <w:r/>
    </w:p>
    <w:p>
      <w:pPr>
        <w:pStyle w:val="1011"/>
        <w:ind w:left="457"/>
        <w:spacing w:before="215" w:line="222" w:lineRule="auto"/>
        <w:rPr>
          <w:rFonts w:ascii="宋体" w:hAnsi="宋体" w:cs="宋体"/>
        </w:rPr>
      </w:pPr>
      <w:r>
        <w:rPr>
          <w:rFonts w:ascii="宋体" w:hAnsi="宋体" w:cs="宋体"/>
          <w:spacing w:val="-2"/>
        </w:rPr>
        <w:t xml:space="preserve">开户银行：</w:t>
      </w:r>
      <w:r>
        <w:rPr>
          <w:rFonts w:ascii="宋体" w:hAnsi="宋体" w:cs="宋体"/>
        </w:rPr>
      </w:r>
      <w:r/>
    </w:p>
    <w:p>
      <w:pPr>
        <w:pStyle w:val="1011"/>
        <w:ind w:left="460"/>
        <w:spacing w:before="215" w:line="223" w:lineRule="auto"/>
        <w:rPr>
          <w:rFonts w:ascii="宋体" w:hAnsi="宋体" w:cs="宋体"/>
        </w:rPr>
      </w:pPr>
      <w:r>
        <w:rPr>
          <w:rFonts w:ascii="宋体" w:hAnsi="宋体" w:cs="宋体"/>
          <w:spacing w:val="-4"/>
        </w:rPr>
        <w:t xml:space="preserve">账号：</w:t>
      </w:r>
      <w:r>
        <w:rPr>
          <w:rFonts w:ascii="宋体" w:hAnsi="宋体" w:cs="宋体"/>
        </w:rPr>
      </w:r>
      <w:r/>
    </w:p>
    <w:p>
      <w:pPr>
        <w:pStyle w:val="1011"/>
        <w:ind w:left="459"/>
        <w:spacing w:before="214" w:line="222" w:lineRule="auto"/>
        <w:rPr>
          <w:rFonts w:ascii="宋体" w:hAnsi="宋体" w:cs="宋体"/>
        </w:rPr>
      </w:pPr>
      <w:r>
        <w:rPr>
          <w:rFonts w:ascii="宋体" w:hAnsi="宋体" w:cs="宋体"/>
          <w:b/>
          <w:bCs/>
          <w:spacing w:val="-3"/>
        </w:rPr>
        <w:t xml:space="preserve">三、履约保证金</w:t>
      </w:r>
      <w:r>
        <w:rPr>
          <w:rFonts w:ascii="宋体" w:hAnsi="宋体" w:cs="宋体"/>
        </w:rPr>
      </w:r>
      <w:r/>
    </w:p>
    <w:p>
      <w:pPr>
        <w:pStyle w:val="1011"/>
        <w:ind w:left="39" w:right="178" w:firstLine="434"/>
        <w:spacing w:before="216" w:line="411" w:lineRule="auto"/>
        <w:rPr>
          <w:rFonts w:ascii="宋体" w:hAnsi="宋体" w:cs="宋体"/>
        </w:rPr>
      </w:pPr>
      <w:r/>
      <w:bookmarkStart w:id="107" w:name="OLE_LINK55"/>
      <w:r>
        <w:rPr>
          <w:rFonts w:ascii="宋体" w:hAnsi="宋体" w:cs="宋体"/>
          <w:spacing w:val="-1"/>
        </w:rPr>
        <w:t xml:space="preserve">乙方应在签订合同前以履约保函的形式向甲方提交合同价百分之</w:t>
      </w:r>
      <w:r>
        <w:rPr>
          <w:rFonts w:hint="eastAsia" w:ascii="宋体" w:hAnsi="宋体" w:cs="宋体"/>
          <w:spacing w:val="-1"/>
        </w:rPr>
        <w:t xml:space="preserve">五</w:t>
      </w:r>
      <w:r>
        <w:rPr>
          <w:rFonts w:ascii="宋体" w:hAnsi="宋体" w:cs="宋体"/>
          <w:spacing w:val="-1"/>
        </w:rPr>
        <w:t xml:space="preserve">的履约保证金。履约保证金在服务期满且服务缺陷更正后，并配合甲方和新中标单位办理移交手续后一个月内无息退还。</w:t>
      </w:r>
      <w:bookmarkEnd w:id="107"/>
      <w:r>
        <w:rPr>
          <w:rFonts w:ascii="宋体" w:hAnsi="宋体" w:cs="宋体"/>
        </w:rPr>
      </w:r>
      <w:r/>
    </w:p>
    <w:p>
      <w:pPr>
        <w:pStyle w:val="1011"/>
        <w:ind w:left="479"/>
        <w:spacing w:line="221" w:lineRule="auto"/>
        <w:rPr>
          <w:rFonts w:ascii="宋体" w:hAnsi="宋体" w:cs="宋体"/>
        </w:rPr>
      </w:pPr>
      <w:r>
        <w:rPr>
          <w:rFonts w:ascii="宋体" w:hAnsi="宋体" w:cs="宋体"/>
          <w:b/>
          <w:bCs/>
          <w:spacing w:val="-6"/>
        </w:rPr>
        <w:t xml:space="preserve">四、服务内容</w:t>
      </w:r>
      <w:r>
        <w:rPr>
          <w:rFonts w:ascii="宋体" w:hAnsi="宋体" w:cs="宋体"/>
        </w:rPr>
      </w:r>
      <w:r/>
    </w:p>
    <w:p>
      <w:pPr>
        <w:pStyle w:val="1011"/>
        <w:ind w:left="38" w:right="178" w:firstLine="435"/>
        <w:jc w:val="both"/>
        <w:spacing w:before="259" w:line="387" w:lineRule="auto"/>
        <w:rPr>
          <w:rFonts w:ascii="宋体" w:hAnsi="宋体" w:cs="宋体"/>
        </w:rPr>
      </w:pPr>
      <w:r>
        <w:rPr>
          <w:rFonts w:ascii="宋体" w:hAnsi="宋体" w:cs="宋体"/>
          <w:spacing w:val="-1"/>
        </w:rPr>
        <w:t xml:space="preserve">乙方应负责所有为完成本项目服务工作所需要的系统建设及设施设备安装调试运行，做好填埋场渗滤液处理的日常监管工作，确保渗滤液达标达量排放；并建立24小时巡查机制及完善的台账资料，防止意</w:t>
      </w:r>
      <w:r>
        <w:rPr>
          <w:rFonts w:ascii="宋体" w:hAnsi="宋体" w:cs="宋体"/>
          <w:spacing w:val="-2"/>
        </w:rPr>
        <w:t xml:space="preserve">外状况发生。</w:t>
      </w:r>
      <w:r>
        <w:rPr>
          <w:rFonts w:ascii="宋体" w:hAnsi="宋体" w:cs="宋体"/>
        </w:rPr>
      </w:r>
      <w:r/>
    </w:p>
    <w:p>
      <w:pPr>
        <w:pStyle w:val="1011"/>
        <w:ind w:left="475"/>
        <w:spacing w:line="221" w:lineRule="auto"/>
        <w:rPr>
          <w:rFonts w:ascii="宋体" w:hAnsi="宋体" w:cs="宋体"/>
          <w:color w:val="ffffff"/>
        </w:rPr>
      </w:pPr>
      <w:r>
        <w:rPr>
          <w:rFonts w:ascii="宋体" w:hAnsi="宋体" w:cs="宋体"/>
          <w:b/>
          <w:bCs/>
          <w:spacing w:val="-7"/>
        </w:rPr>
        <w:t xml:space="preserve">1、处理规模</w:t>
      </w:r>
      <w:r>
        <w:rPr>
          <w:rFonts w:ascii="宋体" w:hAnsi="宋体" w:cs="宋体"/>
          <w:color w:val="ffffff"/>
        </w:rPr>
      </w:r>
      <w:r/>
    </w:p>
    <w:p>
      <w:pPr>
        <w:pStyle w:val="1011"/>
        <w:ind w:left="40" w:right="119" w:firstLine="422"/>
        <w:spacing w:before="187" w:line="332" w:lineRule="auto"/>
        <w:rPr>
          <w:rFonts w:ascii="宋体" w:hAnsi="宋体" w:cs="宋体"/>
        </w:rPr>
      </w:pPr>
      <w:r>
        <w:rPr>
          <w:rFonts w:ascii="宋体" w:hAnsi="宋体" w:cs="宋体"/>
          <w:spacing w:val="-1"/>
        </w:rPr>
        <w:t xml:space="preserve">（1）2025年横扇街道生活垃圾填埋场渗滤液委托处置服务，</w:t>
      </w:r>
      <w:r>
        <w:rPr>
          <w:rFonts w:hint="eastAsia" w:ascii="宋体" w:hAnsi="宋体" w:cs="宋体"/>
          <w:spacing w:val="-1"/>
        </w:rPr>
        <w:t xml:space="preserve">渗滤液设备处置能力达到</w:t>
      </w:r>
      <w:r>
        <w:rPr>
          <w:rFonts w:ascii="Times New Roman" w:hAnsi="Times New Roman" w:eastAsia="Times New Roman" w:cs="Times New Roman"/>
          <w:spacing w:val="-5"/>
        </w:rPr>
        <w:t xml:space="preserve">40</w:t>
      </w:r>
      <w:r>
        <w:rPr>
          <w:rFonts w:hint="eastAsia" w:ascii="宋体" w:hAnsi="宋体" w:cs="宋体"/>
          <w:spacing w:val="-5"/>
        </w:rPr>
        <w:t xml:space="preserve">吨</w:t>
      </w:r>
      <w:r>
        <w:rPr>
          <w:rFonts w:ascii="Times New Roman" w:hAnsi="Times New Roman" w:eastAsia="Times New Roman" w:cs="Times New Roman"/>
          <w:spacing w:val="-5"/>
        </w:rPr>
        <w:t xml:space="preserve">/</w:t>
      </w:r>
      <w:r>
        <w:rPr>
          <w:rFonts w:hint="eastAsia" w:ascii="宋体" w:hAnsi="宋体" w:cs="宋体"/>
          <w:spacing w:val="-5"/>
        </w:rPr>
        <w:t xml:space="preserve">天的渗滤液（</w:t>
      </w:r>
      <w:r>
        <w:rPr>
          <w:rFonts w:ascii="宋体" w:hAnsi="宋体" w:cs="宋体"/>
          <w:spacing w:val="-1"/>
        </w:rPr>
        <w:t xml:space="preserve">具体根据该项目的实际渗滤液存量情况</w:t>
      </w:r>
      <w:r>
        <w:rPr>
          <w:rFonts w:ascii="宋体" w:hAnsi="宋体" w:cs="宋体"/>
          <w:spacing w:val="-53"/>
        </w:rPr>
        <w:t xml:space="preserve">），</w:t>
      </w:r>
      <w:r>
        <w:rPr>
          <w:rFonts w:ascii="宋体" w:hAnsi="宋体" w:cs="宋体"/>
          <w:spacing w:val="-1"/>
        </w:rPr>
        <w:t xml:space="preserve">要求渗滤液废水处理设施设备系统采</w:t>
      </w:r>
      <w:r>
        <w:rPr>
          <w:rFonts w:ascii="宋体" w:hAnsi="宋体" w:cs="宋体"/>
          <w:spacing w:val="-2"/>
        </w:rPr>
        <w:t xml:space="preserve">用无易燃易爆安全隐患的工艺流程处理，</w:t>
      </w:r>
      <w:r>
        <w:rPr>
          <w:rFonts w:ascii="宋体" w:hAnsi="宋体" w:cs="宋体"/>
        </w:rPr>
        <w:t xml:space="preserve">具体处理工艺不限，但要求无浓缩液产生，且确保出水水质达到国家及地方规定的</w:t>
      </w:r>
      <w:r>
        <w:rPr>
          <w:rFonts w:ascii="宋体" w:hAnsi="宋体" w:cs="宋体"/>
          <w:spacing w:val="-1"/>
        </w:rPr>
        <w:t xml:space="preserve">出水排放要求。</w:t>
      </w:r>
      <w:r>
        <w:rPr>
          <w:rFonts w:ascii="宋体" w:hAnsi="宋体" w:cs="宋体"/>
        </w:rPr>
      </w:r>
      <w:r/>
    </w:p>
    <w:p>
      <w:pPr>
        <w:pStyle w:val="1011"/>
        <w:ind w:left="37" w:right="118" w:firstLine="426"/>
        <w:spacing w:before="157" w:line="341" w:lineRule="auto"/>
        <w:rPr>
          <w:rFonts w:ascii="宋体" w:hAnsi="宋体" w:cs="宋体"/>
        </w:rPr>
      </w:pPr>
      <w:r>
        <w:rPr>
          <w:rFonts w:ascii="宋体" w:hAnsi="宋体" w:cs="宋体"/>
          <w:spacing w:val="-5"/>
        </w:rPr>
        <w:t xml:space="preserve">（2）乙方除须满足</w:t>
      </w:r>
      <w:r>
        <w:rPr>
          <w:rFonts w:hint="eastAsia" w:ascii="宋体" w:hAnsi="宋体" w:cs="宋体"/>
          <w:spacing w:val="-5"/>
        </w:rPr>
        <w:t xml:space="preserve">渗滤液设备处置能力达到</w:t>
      </w:r>
      <w:r>
        <w:rPr>
          <w:rFonts w:ascii="宋体" w:hAnsi="宋体" w:cs="宋体"/>
          <w:spacing w:val="-5"/>
        </w:rPr>
        <w:t xml:space="preserve">40</w:t>
      </w:r>
      <w:r>
        <w:rPr>
          <w:rFonts w:hint="eastAsia" w:ascii="宋体" w:hAnsi="宋体" w:cs="宋体"/>
          <w:spacing w:val="-5"/>
        </w:rPr>
        <w:t xml:space="preserve">吨</w:t>
      </w:r>
      <w:r>
        <w:rPr>
          <w:rFonts w:ascii="宋体" w:hAnsi="宋体" w:cs="宋体"/>
          <w:spacing w:val="-5"/>
        </w:rPr>
        <w:t xml:space="preserve">/</w:t>
      </w:r>
      <w:r>
        <w:rPr>
          <w:rFonts w:hint="eastAsia" w:ascii="宋体" w:hAnsi="宋体" w:cs="宋体"/>
          <w:spacing w:val="-5"/>
        </w:rPr>
        <w:t xml:space="preserve">天</w:t>
      </w:r>
      <w:r>
        <w:rPr>
          <w:rFonts w:ascii="宋体" w:hAnsi="宋体" w:cs="宋体"/>
          <w:spacing w:val="-5"/>
        </w:rPr>
        <w:t xml:space="preserve">的</w:t>
      </w:r>
      <w:r>
        <w:rPr>
          <w:rFonts w:ascii="宋体" w:hAnsi="宋体" w:cs="宋体"/>
          <w:spacing w:val="-6"/>
        </w:rPr>
        <w:t xml:space="preserve">渗滤液日</w:t>
      </w:r>
      <w:r>
        <w:rPr>
          <w:rFonts w:ascii="宋体" w:hAnsi="宋体" w:cs="宋体"/>
          <w:spacing w:val="-5"/>
        </w:rPr>
        <w:t xml:space="preserve">常处</w:t>
      </w:r>
      <w:r>
        <w:rPr>
          <w:rFonts w:ascii="宋体" w:hAnsi="宋体" w:cs="宋体"/>
          <w:spacing w:val="-6"/>
        </w:rPr>
        <w:t xml:space="preserve">理，还可自行完善本项目服务范围内渗滤液收集处理系统，</w:t>
      </w:r>
      <w:r>
        <w:rPr>
          <w:rFonts w:ascii="宋体" w:hAnsi="宋体" w:cs="宋体"/>
          <w:spacing w:val="-2"/>
        </w:rPr>
        <w:t xml:space="preserve">以应对极端天气以及不可预见情况发生。</w:t>
      </w:r>
      <w:r>
        <w:rPr>
          <w:rFonts w:ascii="宋体" w:hAnsi="宋体" w:cs="宋体"/>
          <w:b/>
          <w:bCs/>
          <w:spacing w:val="-2"/>
        </w:rPr>
        <w:t xml:space="preserve">当遇到渗滤液量增加时，乙方应在接到甲方通知后，无条件启动</w:t>
      </w:r>
      <w:r>
        <w:rPr>
          <w:rFonts w:ascii="宋体" w:hAnsi="宋体" w:cs="宋体"/>
          <w:b/>
          <w:bCs/>
          <w:spacing w:val="-3"/>
        </w:rPr>
        <w:t xml:space="preserve">应急预案，确保在</w:t>
      </w:r>
      <w:r>
        <w:rPr>
          <w:rFonts w:ascii="Times New Roman" w:hAnsi="Times New Roman" w:eastAsia="Times New Roman" w:cs="Times New Roman"/>
          <w:b/>
          <w:bCs/>
          <w:spacing w:val="-3"/>
        </w:rPr>
        <w:t xml:space="preserve">10 </w:t>
      </w:r>
      <w:r>
        <w:rPr>
          <w:rFonts w:ascii="宋体" w:hAnsi="宋体" w:cs="宋体"/>
          <w:b/>
          <w:bCs/>
          <w:spacing w:val="-3"/>
        </w:rPr>
        <w:t xml:space="preserve">天内增加至</w:t>
      </w:r>
      <w:r>
        <w:rPr>
          <w:rFonts w:ascii="Times New Roman" w:hAnsi="Times New Roman" w:eastAsia="Times New Roman" w:cs="Times New Roman"/>
          <w:b/>
          <w:bCs/>
          <w:spacing w:val="-3"/>
        </w:rPr>
        <w:t xml:space="preserve">100</w:t>
      </w:r>
      <w:r>
        <w:rPr>
          <w:rFonts w:ascii="宋体" w:hAnsi="宋体" w:cs="宋体"/>
          <w:b/>
          <w:bCs/>
          <w:spacing w:val="-3"/>
        </w:rPr>
        <w:t xml:space="preserve">吨</w:t>
      </w:r>
      <w:r>
        <w:rPr>
          <w:rFonts w:ascii="Times New Roman" w:hAnsi="Times New Roman" w:eastAsia="Times New Roman" w:cs="Times New Roman"/>
          <w:b/>
          <w:bCs/>
          <w:spacing w:val="-3"/>
        </w:rPr>
        <w:t xml:space="preserve">/</w:t>
      </w:r>
      <w:r>
        <w:rPr>
          <w:rFonts w:ascii="宋体" w:hAnsi="宋体" w:cs="宋体"/>
          <w:b/>
          <w:bCs/>
          <w:spacing w:val="-3"/>
        </w:rPr>
        <w:t xml:space="preserve">天的渗滤液处理量，以满足现场所有渗滤液的有效处理。</w:t>
      </w:r>
      <w:r>
        <w:rPr>
          <w:rFonts w:ascii="宋体" w:hAnsi="宋体" w:cs="宋体"/>
        </w:rPr>
      </w:r>
      <w:r/>
    </w:p>
    <w:p>
      <w:pPr>
        <w:pStyle w:val="1011"/>
        <w:ind w:left="461"/>
        <w:spacing w:before="188" w:line="221" w:lineRule="auto"/>
        <w:rPr>
          <w:rFonts w:ascii="宋体" w:hAnsi="宋体" w:cs="宋体"/>
        </w:rPr>
      </w:pPr>
      <w:r>
        <w:rPr>
          <w:rFonts w:ascii="宋体" w:hAnsi="宋体" w:cs="宋体"/>
          <w:b/>
          <w:bCs/>
          <w:spacing w:val="-6"/>
        </w:rPr>
        <w:t xml:space="preserve">2、进出水水质</w:t>
      </w:r>
      <w:r>
        <w:rPr>
          <w:rFonts w:ascii="宋体" w:hAnsi="宋体" w:cs="宋体"/>
        </w:rPr>
      </w:r>
      <w:r/>
    </w:p>
    <w:p>
      <w:pPr>
        <w:pStyle w:val="1011"/>
        <w:ind w:left="37" w:right="87" w:firstLine="418"/>
        <w:jc w:val="both"/>
        <w:spacing w:before="188" w:line="387" w:lineRule="auto"/>
        <w:rPr>
          <w:rFonts w:ascii="宋体" w:hAnsi="宋体" w:cs="宋体"/>
        </w:rPr>
      </w:pPr>
      <w:r>
        <w:rPr>
          <w:rFonts w:ascii="宋体" w:hAnsi="宋体" w:cs="宋体"/>
          <w:spacing w:val="-8"/>
        </w:rPr>
        <w:t xml:space="preserve">进水水质由乙方自行监测，处理后的出水水质应满足《生活垃圾填埋场污染控制标准》（</w:t>
      </w:r>
      <w:r>
        <w:rPr>
          <w:rFonts w:hint="eastAsia" w:ascii="宋体" w:hAnsi="宋体" w:cs="宋体"/>
          <w:color w:val="000000"/>
        </w:rPr>
        <w:t xml:space="preserve">GB 16889-2024</w:t>
      </w:r>
      <w:r>
        <w:rPr>
          <w:rFonts w:hint="eastAsia" w:ascii="宋体" w:hAnsi="宋体" w:cs="宋体"/>
          <w:color w:val="000000"/>
          <w:spacing w:val="-1"/>
        </w:rPr>
        <w:t xml:space="preserve">）</w:t>
      </w:r>
      <w:r>
        <w:rPr>
          <w:rFonts w:ascii="宋体" w:hAnsi="宋体" w:cs="宋体"/>
          <w:spacing w:val="-2"/>
        </w:rPr>
        <w:t xml:space="preserve">中“表2  现有和新建生活垃圾填埋场水污染物排放质量浓度限值”的要求，其中溶解性总固体（T</w:t>
      </w:r>
      <w:r>
        <w:rPr>
          <w:rFonts w:ascii="宋体" w:hAnsi="宋体" w:cs="宋体"/>
          <w:spacing w:val="-3"/>
        </w:rPr>
        <w:t xml:space="preserve">DS）应</w:t>
      </w:r>
      <w:r>
        <w:rPr>
          <w:rFonts w:ascii="宋体" w:hAnsi="宋体" w:cs="宋体"/>
          <w:spacing w:val="-5"/>
        </w:rPr>
        <w:t xml:space="preserve">满足《污水排入城镇下水道水质标准》(GB/T31962-2015)中“表1  污水排入城镇下水道水质等级标准</w:t>
      </w:r>
      <w:r>
        <w:rPr>
          <w:rFonts w:ascii="宋体" w:hAnsi="宋体" w:cs="宋体"/>
          <w:spacing w:val="-6"/>
        </w:rPr>
        <w:t xml:space="preserve">（最高允许值，pH值除外）”中C等级标准的要求，最终排污市政管网，产生的固体废物由乙方自行外运处置。</w:t>
      </w:r>
      <w:r>
        <w:rPr>
          <w:rFonts w:ascii="宋体" w:hAnsi="宋体" w:cs="宋体"/>
        </w:rPr>
      </w:r>
      <w:r/>
    </w:p>
    <w:p>
      <w:pPr>
        <w:pStyle w:val="1011"/>
        <w:ind w:left="462"/>
        <w:spacing w:line="221" w:lineRule="auto"/>
        <w:rPr>
          <w:rFonts w:ascii="宋体" w:hAnsi="宋体" w:cs="宋体"/>
        </w:rPr>
      </w:pPr>
      <w:r>
        <w:rPr>
          <w:rFonts w:ascii="宋体" w:hAnsi="宋体" w:cs="宋体"/>
          <w:b/>
          <w:bCs/>
          <w:spacing w:val="-3"/>
        </w:rPr>
        <w:t xml:space="preserve">五、服务要求</w:t>
      </w:r>
      <w:r>
        <w:rPr>
          <w:rFonts w:ascii="宋体" w:hAnsi="宋体" w:cs="宋体"/>
        </w:rPr>
      </w:r>
      <w:r/>
    </w:p>
    <w:p>
      <w:pPr>
        <w:pStyle w:val="1011"/>
        <w:ind w:left="475"/>
        <w:spacing w:before="188" w:line="221" w:lineRule="auto"/>
        <w:rPr>
          <w:rFonts w:ascii="宋体" w:hAnsi="宋体" w:cs="宋体"/>
        </w:rPr>
      </w:pPr>
      <w:r>
        <w:rPr>
          <w:rFonts w:ascii="宋体" w:hAnsi="宋体" w:cs="宋体"/>
          <w:b/>
          <w:bCs/>
          <w:spacing w:val="-4"/>
        </w:rPr>
        <w:t xml:space="preserve">1、水质监控及检测要求</w:t>
      </w:r>
      <w:r>
        <w:rPr>
          <w:rFonts w:ascii="宋体" w:hAnsi="宋体" w:cs="宋体"/>
        </w:rPr>
      </w:r>
      <w:r/>
    </w:p>
    <w:p>
      <w:pPr>
        <w:pStyle w:val="1011"/>
        <w:ind w:left="463"/>
        <w:spacing w:before="190" w:line="216" w:lineRule="auto"/>
        <w:rPr>
          <w:rFonts w:ascii="宋体" w:hAnsi="宋体" w:cs="宋体"/>
        </w:rPr>
      </w:pPr>
      <w:r>
        <w:rPr>
          <w:rFonts w:ascii="宋体" w:hAnsi="宋体" w:cs="宋体"/>
          <w:spacing w:val="-11"/>
        </w:rPr>
        <w:t xml:space="preserve">（1）乙方需确保现场有完善的在线监控及处理设备（本项目至少须进行水质在线监测pH、COD、氨氮）。</w:t>
      </w:r>
      <w:r>
        <w:rPr>
          <w:rFonts w:ascii="宋体" w:hAnsi="宋体" w:cs="宋体"/>
        </w:rPr>
      </w:r>
      <w:r/>
    </w:p>
    <w:p>
      <w:pPr>
        <w:pStyle w:val="1011"/>
        <w:ind w:left="39" w:firstLine="14"/>
        <w:spacing w:before="194" w:line="301" w:lineRule="auto"/>
        <w:rPr>
          <w:rFonts w:ascii="宋体" w:hAnsi="宋体" w:cs="宋体"/>
        </w:rPr>
      </w:pPr>
      <w:r>
        <w:rPr>
          <w:rFonts w:ascii="宋体" w:hAnsi="宋体" w:cs="宋体"/>
          <w:spacing w:val="-1"/>
        </w:rPr>
        <w:t xml:space="preserve">乙方还应配备必要的化验设备设施，并按照</w:t>
      </w:r>
      <w:r>
        <w:rPr>
          <w:rFonts w:ascii="宋体" w:hAnsi="宋体" w:cs="宋体"/>
          <w:spacing w:val="-2"/>
        </w:rPr>
        <w:t xml:space="preserve">有关规定进行日常检验以确保渗滤液处理后达到设计排出标准。</w:t>
      </w:r>
      <w:r>
        <w:rPr>
          <w:rFonts w:ascii="宋体" w:hAnsi="宋体" w:cs="宋体"/>
          <w:spacing w:val="-3"/>
        </w:rPr>
        <w:t xml:space="preserve">水质检测方法按国家相关规范和标准执行，检测结果应登记存档（实验室检测项目：污泥浓度、pH、COD、</w:t>
      </w:r>
      <w:r>
        <w:rPr>
          <w:rFonts w:ascii="宋体" w:hAnsi="宋体" w:cs="宋体"/>
        </w:rPr>
      </w:r>
      <w:r/>
    </w:p>
    <w:p>
      <w:pPr>
        <w:pStyle w:val="1011"/>
        <w:ind w:left="284" w:right="176"/>
        <w:spacing w:before="193" w:line="354" w:lineRule="auto"/>
        <w:rPr>
          <w:rFonts w:ascii="宋体" w:hAnsi="宋体" w:cs="宋体"/>
        </w:rPr>
      </w:pPr>
      <w:r>
        <w:rPr>
          <w:rFonts w:ascii="宋体" w:hAnsi="宋体" w:cs="宋体"/>
        </w:rPr>
        <w:t xml:space="preserve">氨氮、总氮、总磷、悬浮物；定期委托检测：p</w:t>
      </w:r>
      <w:r>
        <w:rPr>
          <w:rFonts w:ascii="宋体" w:hAnsi="宋体" w:cs="宋体"/>
          <w:spacing w:val="-1"/>
        </w:rPr>
        <w:t xml:space="preserve">H、COD、氨氮、总氮、总磷、BOD、悬浮物、色度、粪大肠菌群、总汞、总镉、总铬、六价铬、总砷、总铅）。每月25</w:t>
      </w:r>
      <w:r>
        <w:rPr>
          <w:rFonts w:ascii="宋体" w:hAnsi="宋体" w:cs="宋体"/>
          <w:spacing w:val="-2"/>
        </w:rPr>
        <w:t xml:space="preserve"> 日前，甲方、乙方至少共同随机抽取一次水</w:t>
      </w:r>
      <w:r>
        <w:rPr>
          <w:rFonts w:ascii="宋体" w:hAnsi="宋体" w:cs="宋体"/>
        </w:rPr>
        <w:t xml:space="preserve">样进行抽检，所抽取的水样由甲方送至具有相关资</w:t>
      </w:r>
      <w:r>
        <w:rPr>
          <w:rFonts w:ascii="宋体" w:hAnsi="宋体" w:cs="宋体"/>
          <w:spacing w:val="-1"/>
        </w:rPr>
        <w:t xml:space="preserve">质的水质检测机构进行检测，费用由乙方承担，含在投</w:t>
      </w:r>
      <w:r>
        <w:rPr>
          <w:rFonts w:ascii="宋体" w:hAnsi="宋体" w:cs="宋体"/>
        </w:rPr>
        <w:t xml:space="preserve">标报价之内。甲方可根据实际需要增加当月水</w:t>
      </w:r>
      <w:r>
        <w:rPr>
          <w:rFonts w:ascii="宋体" w:hAnsi="宋体" w:cs="宋体"/>
          <w:spacing w:val="-1"/>
        </w:rPr>
        <w:t xml:space="preserve">质检测次数，但所增加的当月水质检测次数的检测费用由甲方自行承担。</w:t>
      </w:r>
      <w:r>
        <w:rPr>
          <w:rFonts w:ascii="宋体" w:hAnsi="宋体" w:cs="宋体"/>
        </w:rPr>
      </w:r>
      <w:r/>
    </w:p>
    <w:p>
      <w:pPr>
        <w:pStyle w:val="1011"/>
        <w:ind w:left="463"/>
        <w:spacing w:before="188" w:line="221" w:lineRule="auto"/>
        <w:rPr>
          <w:rFonts w:ascii="宋体" w:hAnsi="宋体" w:cs="宋体"/>
          <w:spacing w:val="-4"/>
        </w:rPr>
      </w:pPr>
      <w:r>
        <w:rPr>
          <w:rFonts w:ascii="宋体" w:hAnsi="宋体" w:cs="宋体"/>
          <w:spacing w:val="1"/>
        </w:rPr>
        <w:t xml:space="preserve">（2）乙方在提供服务期间，必须负责渗滤液处理设备的稳定运行并保证出水达到设计标准后排放。</w:t>
      </w:r>
      <w:r>
        <w:rPr>
          <w:rFonts w:ascii="宋体" w:hAnsi="宋体" w:cs="宋体"/>
          <w:spacing w:val="-3"/>
        </w:rPr>
        <w:t xml:space="preserve">因乙方（管理、运营） 的原因发生渗滤液</w:t>
      </w:r>
      <w:r>
        <w:rPr>
          <w:rFonts w:ascii="宋体" w:hAnsi="宋体" w:cs="宋体"/>
          <w:spacing w:val="-4"/>
        </w:rPr>
        <w:t xml:space="preserve">外溢，不达标等事故或问题所造成的一切后果全权由乙方承担。</w:t>
      </w:r>
      <w:r/>
    </w:p>
    <w:p>
      <w:pPr>
        <w:pStyle w:val="1011"/>
        <w:ind w:left="461"/>
        <w:spacing w:before="189" w:line="222" w:lineRule="auto"/>
        <w:rPr>
          <w:rFonts w:ascii="宋体" w:hAnsi="宋体" w:cs="宋体"/>
          <w:b/>
          <w:bCs/>
          <w:spacing w:val="-3"/>
        </w:rPr>
      </w:pPr>
      <w:r>
        <w:rPr>
          <w:rFonts w:ascii="宋体" w:hAnsi="宋体" w:cs="宋体"/>
          <w:b/>
          <w:bCs/>
          <w:spacing w:val="-3"/>
        </w:rPr>
        <w:t xml:space="preserve">2、</w:t>
      </w:r>
      <w:r>
        <w:rPr>
          <w:rFonts w:hint="eastAsia" w:ascii="宋体" w:hAnsi="宋体" w:cs="宋体"/>
          <w:b/>
          <w:bCs/>
          <w:spacing w:val="-3"/>
        </w:rPr>
        <w:t xml:space="preserve">处理过程中产生的污泥要求</w:t>
      </w:r>
      <w:r>
        <w:rPr>
          <w:rFonts w:ascii="宋体" w:hAnsi="宋体" w:cs="宋体"/>
          <w:b/>
          <w:bCs/>
          <w:spacing w:val="-3"/>
        </w:rPr>
      </w:r>
      <w:r/>
    </w:p>
    <w:p>
      <w:pPr>
        <w:pStyle w:val="1011"/>
        <w:ind w:left="461"/>
        <w:spacing w:before="189" w:line="222" w:lineRule="auto"/>
        <w:rPr>
          <w:rFonts w:ascii="宋体" w:hAnsi="宋体" w:cs="宋体"/>
          <w:b/>
          <w:bCs/>
          <w:spacing w:val="-3"/>
        </w:rPr>
      </w:pPr>
      <w:r>
        <w:rPr>
          <w:rFonts w:hint="eastAsia" w:ascii="宋体" w:hAnsi="宋体" w:cs="宋体"/>
          <w:spacing w:val="-1"/>
        </w:rPr>
        <w:t xml:space="preserve">处理过程中产生的污泥由由供应商转运至采购方指定单位处理，所产生的费用由供应商自行承担。</w:t>
      </w:r>
      <w:r>
        <w:rPr>
          <w:rFonts w:ascii="宋体" w:hAnsi="宋体" w:cs="宋体"/>
          <w:b/>
          <w:bCs/>
          <w:spacing w:val="-3"/>
        </w:rPr>
      </w:r>
      <w:r/>
    </w:p>
    <w:p>
      <w:pPr>
        <w:pStyle w:val="1011"/>
        <w:ind w:left="53"/>
        <w:spacing w:before="157" w:line="221" w:lineRule="auto"/>
        <w:rPr>
          <w:rFonts w:ascii="宋体" w:hAnsi="宋体" w:cs="宋体"/>
        </w:rPr>
      </w:pPr>
      <w:r>
        <w:rPr>
          <w:rFonts w:ascii="宋体" w:hAnsi="宋体" w:cs="宋体"/>
        </w:rPr>
      </w:r>
      <w:r/>
    </w:p>
    <w:p>
      <w:pPr>
        <w:pStyle w:val="1011"/>
        <w:ind w:left="461"/>
        <w:spacing w:before="187" w:line="222" w:lineRule="auto"/>
        <w:rPr>
          <w:rFonts w:ascii="宋体" w:hAnsi="宋体" w:cs="宋体"/>
        </w:rPr>
      </w:pPr>
      <w:r>
        <w:rPr>
          <w:rFonts w:hint="eastAsia" w:ascii="宋体" w:hAnsi="宋体" w:cs="宋体"/>
          <w:b/>
          <w:bCs/>
          <w:spacing w:val="-3"/>
        </w:rPr>
        <w:t xml:space="preserve">3</w:t>
      </w:r>
      <w:r>
        <w:rPr>
          <w:rFonts w:ascii="宋体" w:hAnsi="宋体" w:cs="宋体"/>
          <w:b/>
          <w:bCs/>
          <w:spacing w:val="-3"/>
        </w:rPr>
        <w:t xml:space="preserve">、项目人员配备及设备配置要求</w:t>
      </w:r>
      <w:r>
        <w:rPr>
          <w:rFonts w:ascii="宋体" w:hAnsi="宋体" w:cs="宋体"/>
        </w:rPr>
      </w:r>
      <w:r/>
    </w:p>
    <w:p>
      <w:pPr>
        <w:pStyle w:val="1011"/>
        <w:ind w:left="64" w:right="23" w:firstLine="399"/>
        <w:spacing w:before="189" w:line="303" w:lineRule="auto"/>
        <w:rPr>
          <w:rFonts w:ascii="宋体" w:hAnsi="宋体" w:cs="宋体"/>
        </w:rPr>
      </w:pPr>
      <w:r>
        <w:rPr>
          <w:rFonts w:ascii="宋体" w:hAnsi="宋体" w:cs="宋体"/>
          <w:spacing w:val="-1"/>
        </w:rPr>
        <w:t xml:space="preserve">（1）人员配备要求：乙方需自带处理设备和运营人员开展服务，要求配置项目负责人 1 名（负责与甲方的项目对接责任）及至少3名项目运营人员，配置有限空间或深基坑处理人员，人员配置必须确保能够满足本项目的运</w:t>
      </w:r>
      <w:r>
        <w:rPr>
          <w:rFonts w:ascii="宋体" w:hAnsi="宋体" w:cs="宋体"/>
          <w:spacing w:val="-2"/>
        </w:rPr>
        <w:t xml:space="preserve">行服务需求。</w:t>
      </w:r>
      <w:r>
        <w:rPr>
          <w:rFonts w:ascii="宋体" w:hAnsi="宋体" w:cs="宋体"/>
        </w:rPr>
      </w:r>
      <w:r/>
    </w:p>
    <w:p>
      <w:pPr>
        <w:pStyle w:val="1011"/>
        <w:ind w:left="37" w:right="23" w:firstLine="425"/>
        <w:spacing w:before="190" w:line="345" w:lineRule="auto"/>
        <w:rPr>
          <w:rFonts w:ascii="宋体" w:hAnsi="宋体" w:cs="宋体"/>
        </w:rPr>
      </w:pPr>
      <w:r>
        <w:rPr>
          <w:rFonts w:ascii="宋体" w:hAnsi="宋体" w:cs="宋体"/>
          <w:spacing w:val="2"/>
        </w:rPr>
        <w:t xml:space="preserve">（2）设备配置要求：乙方至少应为本项目配置能够完全满足本项目</w:t>
      </w:r>
      <w:r>
        <w:rPr>
          <w:rFonts w:ascii="宋体" w:hAnsi="宋体" w:cs="宋体"/>
          <w:spacing w:val="1"/>
        </w:rPr>
        <w:t xml:space="preserve">处理工艺及日处理量所需的全部技术</w:t>
      </w:r>
      <w:r>
        <w:rPr>
          <w:rFonts w:ascii="宋体" w:hAnsi="宋体" w:cs="宋体"/>
          <w:spacing w:val="-3"/>
        </w:rPr>
        <w:t xml:space="preserve">设备</w:t>
      </w:r>
      <w:r>
        <w:rPr>
          <w:rFonts w:ascii="宋体" w:hAnsi="宋体" w:cs="宋体"/>
          <w:b/>
          <w:bCs/>
          <w:spacing w:val="-3"/>
        </w:rPr>
        <w:t xml:space="preserve">（场区已有设施设备能否利旧，需乙方自行勘察现场。如乙方所配置的设施设备等如无法满足本项目</w:t>
      </w:r>
      <w:r>
        <w:rPr>
          <w:rFonts w:ascii="宋体" w:hAnsi="宋体" w:cs="宋体"/>
          <w:b/>
          <w:bCs/>
          <w:spacing w:val="-2"/>
        </w:rPr>
        <w:t xml:space="preserve">使用需求，则甲方有权要求乙方免费更换符合使用需求的设施设备）。</w:t>
      </w:r>
      <w:r>
        <w:rPr>
          <w:rFonts w:ascii="宋体" w:hAnsi="宋体" w:cs="宋体"/>
          <w:spacing w:val="-2"/>
        </w:rPr>
        <w:t xml:space="preserve">本项目涉及需要使用到的主</w:t>
      </w:r>
      <w:r>
        <w:rPr>
          <w:rFonts w:ascii="宋体" w:hAnsi="宋体" w:cs="宋体"/>
          <w:spacing w:val="-3"/>
        </w:rPr>
        <w:t xml:space="preserve">要监测</w:t>
      </w:r>
      <w:r>
        <w:rPr>
          <w:rFonts w:ascii="宋体" w:hAnsi="宋体" w:cs="宋体"/>
          <w:spacing w:val="-4"/>
        </w:rPr>
        <w:t xml:space="preserve">设备技术要求如下：</w:t>
      </w:r>
      <w:r>
        <w:rPr>
          <w:rFonts w:ascii="宋体" w:hAnsi="宋体" w:cs="宋体"/>
        </w:rPr>
      </w:r>
      <w:r/>
    </w:p>
    <w:p>
      <w:pPr>
        <w:pStyle w:val="1011"/>
        <w:ind w:left="456"/>
        <w:spacing w:before="189" w:line="219" w:lineRule="auto"/>
        <w:rPr>
          <w:rFonts w:ascii="宋体" w:hAnsi="宋体" w:cs="宋体"/>
        </w:rPr>
      </w:pPr>
      <w:r>
        <w:rPr>
          <w:rFonts w:ascii="宋体" w:hAnsi="宋体" w:cs="宋体"/>
          <w:spacing w:val="-2"/>
        </w:rPr>
        <w:t xml:space="preserve">①PH计</w:t>
      </w:r>
      <w:r>
        <w:rPr>
          <w:rFonts w:ascii="宋体" w:hAnsi="宋体" w:cs="宋体"/>
        </w:rPr>
      </w:r>
      <w:r/>
    </w:p>
    <w:p>
      <w:pPr>
        <w:pStyle w:val="1011"/>
        <w:ind w:left="458"/>
        <w:spacing w:before="191" w:line="216" w:lineRule="auto"/>
        <w:rPr>
          <w:rFonts w:ascii="宋体" w:hAnsi="宋体" w:cs="宋体"/>
        </w:rPr>
      </w:pPr>
      <w:r>
        <w:rPr>
          <w:rFonts w:ascii="宋体" w:hAnsi="宋体" w:cs="宋体"/>
          <w:spacing w:val="-1"/>
        </w:rPr>
        <w:t xml:space="preserve">测量范围：ph(0-14);</w:t>
      </w:r>
      <w:r>
        <w:rPr>
          <w:rFonts w:ascii="宋体" w:hAnsi="宋体" w:cs="宋体"/>
        </w:rPr>
      </w:r>
      <w:r/>
    </w:p>
    <w:p>
      <w:pPr>
        <w:pStyle w:val="1011"/>
        <w:ind w:left="458"/>
        <w:spacing w:before="193" w:line="216" w:lineRule="auto"/>
        <w:rPr>
          <w:rFonts w:ascii="宋体" w:hAnsi="宋体" w:cs="宋体"/>
        </w:rPr>
      </w:pPr>
      <w:r>
        <w:rPr>
          <w:rFonts w:ascii="宋体" w:hAnsi="宋体" w:cs="宋体"/>
          <w:spacing w:val="-3"/>
        </w:rPr>
        <w:t xml:space="preserve">测量精度：±0.02ph;</w:t>
      </w:r>
      <w:r>
        <w:rPr>
          <w:rFonts w:ascii="宋体" w:hAnsi="宋体" w:cs="宋体"/>
        </w:rPr>
      </w:r>
      <w:r/>
    </w:p>
    <w:p>
      <w:pPr>
        <w:pStyle w:val="1011"/>
        <w:ind w:left="459"/>
        <w:spacing w:before="196" w:line="216" w:lineRule="auto"/>
        <w:rPr>
          <w:rFonts w:ascii="宋体" w:hAnsi="宋体" w:cs="宋体"/>
        </w:rPr>
      </w:pPr>
      <w:r>
        <w:rPr>
          <w:rFonts w:ascii="宋体" w:hAnsi="宋体" w:cs="宋体"/>
          <w:spacing w:val="-4"/>
        </w:rPr>
        <w:t xml:space="preserve">分辨率：±0.01ph；</w:t>
      </w:r>
      <w:r>
        <w:rPr>
          <w:rFonts w:ascii="宋体" w:hAnsi="宋体" w:cs="宋体"/>
        </w:rPr>
      </w:r>
      <w:r/>
    </w:p>
    <w:p>
      <w:pPr>
        <w:pStyle w:val="1011"/>
        <w:ind w:left="458"/>
        <w:spacing w:before="194" w:line="216" w:lineRule="auto"/>
        <w:rPr>
          <w:rFonts w:ascii="宋体" w:hAnsi="宋体" w:cs="宋体"/>
        </w:rPr>
      </w:pPr>
      <w:r>
        <w:rPr>
          <w:rFonts w:ascii="宋体" w:hAnsi="宋体" w:cs="宋体"/>
          <w:spacing w:val="-2"/>
        </w:rPr>
        <w:t xml:space="preserve">稳定性：≤0.02ph/24h;</w:t>
      </w:r>
      <w:r>
        <w:rPr>
          <w:rFonts w:ascii="宋体" w:hAnsi="宋体" w:cs="宋体"/>
        </w:rPr>
      </w:r>
      <w:r/>
    </w:p>
    <w:p>
      <w:pPr>
        <w:pStyle w:val="1011"/>
        <w:ind w:left="456"/>
        <w:spacing w:before="193" w:line="221" w:lineRule="auto"/>
        <w:rPr>
          <w:rFonts w:ascii="宋体" w:hAnsi="宋体" w:cs="宋体"/>
        </w:rPr>
      </w:pPr>
      <w:r>
        <w:rPr>
          <w:rFonts w:ascii="宋体" w:hAnsi="宋体" w:cs="宋体"/>
          <w:spacing w:val="-4"/>
        </w:rPr>
        <w:t xml:space="preserve">输入阻抗：10~12Ω;</w:t>
      </w:r>
      <w:r>
        <w:rPr>
          <w:rFonts w:ascii="宋体" w:hAnsi="宋体" w:cs="宋体"/>
        </w:rPr>
      </w:r>
      <w:r/>
    </w:p>
    <w:p>
      <w:pPr>
        <w:pStyle w:val="1011"/>
        <w:ind w:left="458"/>
        <w:spacing w:before="190" w:line="222" w:lineRule="auto"/>
        <w:rPr>
          <w:rFonts w:ascii="宋体" w:hAnsi="宋体" w:cs="宋体"/>
        </w:rPr>
      </w:pPr>
      <w:r>
        <w:rPr>
          <w:rFonts w:ascii="宋体" w:hAnsi="宋体" w:cs="宋体"/>
          <w:spacing w:val="-3"/>
        </w:rPr>
        <w:t xml:space="preserve">温度范围：-10~130℃;</w:t>
      </w:r>
      <w:r>
        <w:rPr>
          <w:rFonts w:ascii="宋体" w:hAnsi="宋体" w:cs="宋体"/>
        </w:rPr>
      </w:r>
      <w:r/>
    </w:p>
    <w:p>
      <w:pPr>
        <w:pStyle w:val="1011"/>
        <w:ind w:left="458"/>
        <w:spacing w:before="187" w:line="222" w:lineRule="auto"/>
        <w:rPr>
          <w:rFonts w:ascii="宋体" w:hAnsi="宋体" w:cs="宋体"/>
        </w:rPr>
      </w:pPr>
      <w:r>
        <w:rPr>
          <w:rFonts w:ascii="宋体" w:hAnsi="宋体" w:cs="宋体"/>
          <w:spacing w:val="-3"/>
        </w:rPr>
        <w:t xml:space="preserve">温度补偿：-10~130℃;</w:t>
      </w:r>
      <w:r>
        <w:rPr>
          <w:rFonts w:ascii="宋体" w:hAnsi="宋体" w:cs="宋体"/>
        </w:rPr>
      </w:r>
      <w:r/>
    </w:p>
    <w:p>
      <w:pPr>
        <w:pStyle w:val="1011"/>
        <w:ind w:left="457"/>
        <w:spacing w:before="187" w:line="222" w:lineRule="auto"/>
        <w:rPr>
          <w:rFonts w:ascii="宋体" w:hAnsi="宋体" w:cs="宋体"/>
        </w:rPr>
      </w:pPr>
      <w:r>
        <w:rPr>
          <w:rFonts w:ascii="宋体" w:hAnsi="宋体" w:cs="宋体"/>
          <w:spacing w:val="-2"/>
        </w:rPr>
        <w:t xml:space="preserve">通讯功能：485通讯；标准Modbus-Rtu协议；</w:t>
      </w:r>
      <w:r>
        <w:rPr>
          <w:rFonts w:ascii="宋体" w:hAnsi="宋体" w:cs="宋体"/>
        </w:rPr>
      </w:r>
      <w:r/>
    </w:p>
    <w:p>
      <w:pPr>
        <w:pStyle w:val="1011"/>
        <w:ind w:left="457"/>
        <w:spacing w:before="189" w:line="221" w:lineRule="auto"/>
        <w:rPr>
          <w:rFonts w:ascii="宋体" w:hAnsi="宋体" w:cs="宋体"/>
        </w:rPr>
      </w:pPr>
      <w:r>
        <w:rPr>
          <w:rFonts w:ascii="宋体" w:hAnsi="宋体" w:cs="宋体"/>
          <w:spacing w:val="-3"/>
        </w:rPr>
        <w:t xml:space="preserve">变送输出：隔离变送4~20mA，最大负载750Ω;</w:t>
      </w:r>
      <w:r>
        <w:rPr>
          <w:rFonts w:ascii="宋体" w:hAnsi="宋体" w:cs="宋体"/>
        </w:rPr>
      </w:r>
      <w:r/>
    </w:p>
    <w:p>
      <w:pPr>
        <w:pStyle w:val="1011"/>
        <w:ind w:left="457"/>
        <w:spacing w:before="187" w:line="221" w:lineRule="auto"/>
        <w:rPr>
          <w:rFonts w:ascii="宋体" w:hAnsi="宋体" w:cs="宋体"/>
        </w:rPr>
      </w:pPr>
      <w:r>
        <w:rPr>
          <w:rFonts w:ascii="宋体" w:hAnsi="宋体" w:cs="宋体"/>
        </w:rPr>
        <w:t xml:space="preserve">供电电源：AC 220V±10%，50HZ</w:t>
      </w:r>
      <w:r>
        <w:rPr>
          <w:rFonts w:ascii="宋体" w:hAnsi="宋体" w:cs="宋体"/>
          <w:spacing w:val="-1"/>
        </w:rPr>
        <w:t xml:space="preserve">/60HZ;</w:t>
      </w:r>
      <w:r>
        <w:rPr>
          <w:rFonts w:ascii="宋体" w:hAnsi="宋体" w:cs="宋体"/>
        </w:rPr>
      </w:r>
      <w:r/>
    </w:p>
    <w:p>
      <w:pPr>
        <w:pStyle w:val="1011"/>
        <w:ind w:left="455"/>
        <w:spacing w:before="189" w:line="221" w:lineRule="auto"/>
        <w:rPr>
          <w:rFonts w:ascii="宋体" w:hAnsi="宋体" w:cs="宋体"/>
        </w:rPr>
      </w:pPr>
      <w:r>
        <w:rPr>
          <w:rFonts w:ascii="宋体" w:hAnsi="宋体" w:cs="宋体"/>
        </w:rPr>
        <w:t xml:space="preserve">报警功能：两路常开常闭报警继电器AC220V、3A</w:t>
      </w:r>
      <w:r/>
    </w:p>
    <w:p>
      <w:pPr>
        <w:pStyle w:val="1011"/>
        <w:ind w:left="455"/>
        <w:spacing w:before="190" w:line="219" w:lineRule="auto"/>
        <w:rPr>
          <w:rFonts w:ascii="宋体" w:hAnsi="宋体" w:cs="宋体"/>
        </w:rPr>
      </w:pPr>
      <w:r>
        <w:rPr>
          <w:rFonts w:ascii="宋体" w:hAnsi="宋体" w:cs="宋体"/>
          <w:spacing w:val="-1"/>
        </w:rPr>
        <w:t xml:space="preserve">②化学需氧量（COD）水质在线分析仪</w:t>
      </w:r>
      <w:r>
        <w:rPr>
          <w:rFonts w:ascii="宋体" w:hAnsi="宋体" w:cs="宋体"/>
        </w:rPr>
      </w:r>
      <w:r/>
    </w:p>
    <w:p>
      <w:pPr>
        <w:pStyle w:val="1011"/>
        <w:spacing w:line="18" w:lineRule="exact"/>
      </w:pPr>
      <w:r/>
      <w:r/>
    </w:p>
    <w:tbl>
      <w:tblPr>
        <w:tblW w:w="8827" w:type="dxa"/>
        <w:tblInd w:w="43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55"/>
        <w:gridCol w:w="6272"/>
      </w:tblGrid>
      <w:tr>
        <w:trPr>
          <w:trHeight w:val="417"/>
        </w:trPr>
        <w:tc>
          <w:tcPr>
            <w:gridSpan w:val="2"/>
            <w:tcW w:w="8827" w:type="dxa"/>
            <w:vAlign w:val="top"/>
            <w:textDirection w:val="lrTb"/>
            <w:noWrap w:val="false"/>
          </w:tcPr>
          <w:p>
            <w:pPr>
              <w:pStyle w:val="1198"/>
              <w:ind w:left="114"/>
              <w:spacing w:before="35" w:line="221" w:lineRule="auto"/>
              <w:rPr>
                <w:lang w:eastAsia="en-US"/>
              </w:rPr>
            </w:pPr>
            <w:r>
              <w:rPr>
                <w:spacing w:val="-4"/>
                <w:lang w:eastAsia="en-US"/>
              </w:rPr>
              <w:t xml:space="preserve">COD性能参数</w:t>
            </w:r>
            <w:r>
              <w:rPr>
                <w:lang w:eastAsia="en-US"/>
              </w:rPr>
            </w:r>
            <w:r/>
          </w:p>
        </w:tc>
      </w:tr>
      <w:tr>
        <w:trPr>
          <w:trHeight w:val="414"/>
        </w:trPr>
        <w:tc>
          <w:tcPr>
            <w:tcW w:w="2555" w:type="dxa"/>
            <w:vAlign w:val="top"/>
            <w:textDirection w:val="lrTb"/>
            <w:noWrap w:val="false"/>
          </w:tcPr>
          <w:p>
            <w:pPr>
              <w:pStyle w:val="1198"/>
              <w:ind w:left="116"/>
              <w:spacing w:before="29" w:line="223" w:lineRule="auto"/>
              <w:rPr>
                <w:lang w:eastAsia="en-US"/>
              </w:rPr>
            </w:pPr>
            <w:r>
              <w:rPr>
                <w:spacing w:val="-4"/>
                <w:lang w:eastAsia="en-US"/>
              </w:rPr>
              <w:t xml:space="preserve">测量方法</w:t>
            </w:r>
            <w:r>
              <w:rPr>
                <w:lang w:eastAsia="en-US"/>
              </w:rPr>
            </w:r>
            <w:r/>
          </w:p>
        </w:tc>
        <w:tc>
          <w:tcPr>
            <w:tcW w:w="6272" w:type="dxa"/>
            <w:vAlign w:val="top"/>
            <w:textDirection w:val="lrTb"/>
            <w:noWrap w:val="false"/>
          </w:tcPr>
          <w:p>
            <w:pPr>
              <w:pStyle w:val="1198"/>
              <w:ind w:left="112"/>
              <w:spacing w:before="29" w:line="221" w:lineRule="auto"/>
            </w:pPr>
            <w:r>
              <w:rPr>
                <w:spacing w:val="-3"/>
              </w:rPr>
              <w:t xml:space="preserve">基于GB11914 89标准 水质-化</w:t>
            </w:r>
            <w:r>
              <w:rPr>
                <w:spacing w:val="-4"/>
              </w:rPr>
              <w:t xml:space="preserve">学需氧量的测定-重铬酸盐法</w:t>
            </w:r>
            <w:r/>
          </w:p>
        </w:tc>
      </w:tr>
      <w:tr>
        <w:trPr>
          <w:trHeight w:val="820"/>
        </w:trPr>
        <w:tc>
          <w:tcPr>
            <w:tcW w:w="2555" w:type="dxa"/>
            <w:vAlign w:val="top"/>
            <w:textDirection w:val="lrTb"/>
            <w:noWrap w:val="false"/>
          </w:tcPr>
          <w:p>
            <w:pPr>
              <w:pStyle w:val="1198"/>
              <w:ind w:left="116"/>
              <w:spacing w:before="31" w:line="222" w:lineRule="auto"/>
              <w:rPr>
                <w:lang w:eastAsia="en-US"/>
              </w:rPr>
            </w:pPr>
            <w:r>
              <w:rPr>
                <w:spacing w:val="-4"/>
                <w:lang w:eastAsia="en-US"/>
              </w:rPr>
              <w:t xml:space="preserve">量程范围</w:t>
            </w:r>
            <w:r>
              <w:rPr>
                <w:lang w:eastAsia="en-US"/>
              </w:rPr>
            </w:r>
            <w:r/>
          </w:p>
        </w:tc>
        <w:tc>
          <w:tcPr>
            <w:tcW w:w="6272" w:type="dxa"/>
            <w:vAlign w:val="top"/>
            <w:textDirection w:val="lrTb"/>
            <w:noWrap w:val="false"/>
          </w:tcPr>
          <w:p>
            <w:pPr>
              <w:pStyle w:val="1198"/>
              <w:ind w:left="112" w:right="3988"/>
              <w:spacing w:before="31" w:line="342" w:lineRule="auto"/>
              <w:rPr>
                <w:lang w:eastAsia="en-US"/>
              </w:rPr>
            </w:pPr>
            <w:r>
              <w:rPr>
                <w:spacing w:val="-8"/>
                <w:lang w:eastAsia="en-US"/>
              </w:rPr>
              <w:t xml:space="preserve">基本量程10～200mg/L；</w:t>
            </w:r>
            <w:r>
              <w:rPr>
                <w:spacing w:val="-3"/>
                <w:lang w:eastAsia="en-US"/>
              </w:rPr>
              <w:t xml:space="preserve">扩展量程800/8000mg/L</w:t>
            </w:r>
            <w:r>
              <w:rPr>
                <w:lang w:eastAsia="en-US"/>
              </w:rPr>
            </w:r>
            <w:r/>
          </w:p>
        </w:tc>
      </w:tr>
      <w:tr>
        <w:trPr>
          <w:trHeight w:val="414"/>
        </w:trPr>
        <w:tc>
          <w:tcPr>
            <w:tcW w:w="2555" w:type="dxa"/>
            <w:vAlign w:val="top"/>
            <w:textDirection w:val="lrTb"/>
            <w:noWrap w:val="false"/>
          </w:tcPr>
          <w:p>
            <w:pPr>
              <w:pStyle w:val="1198"/>
              <w:ind w:left="116"/>
              <w:spacing w:before="31" w:line="222" w:lineRule="auto"/>
              <w:rPr>
                <w:lang w:eastAsia="en-US"/>
              </w:rPr>
            </w:pPr>
            <w:r>
              <w:rPr>
                <w:spacing w:val="-4"/>
                <w:lang w:eastAsia="en-US"/>
              </w:rPr>
              <w:t xml:space="preserve">重复性</w:t>
            </w:r>
            <w:r>
              <w:rPr>
                <w:lang w:eastAsia="en-US"/>
              </w:rPr>
            </w:r>
            <w:r/>
          </w:p>
        </w:tc>
        <w:tc>
          <w:tcPr>
            <w:tcW w:w="6272" w:type="dxa"/>
            <w:vAlign w:val="top"/>
            <w:textDirection w:val="lrTb"/>
            <w:noWrap w:val="false"/>
          </w:tcPr>
          <w:p>
            <w:pPr>
              <w:pStyle w:val="1198"/>
              <w:ind w:left="127"/>
              <w:spacing w:before="31" w:line="238" w:lineRule="auto"/>
              <w:rPr>
                <w:lang w:eastAsia="en-US"/>
              </w:rPr>
            </w:pPr>
            <w:r>
              <w:rPr>
                <w:spacing w:val="-9"/>
                <w:lang w:eastAsia="en-US"/>
              </w:rPr>
              <w:t xml:space="preserve">≤5%</w:t>
            </w:r>
            <w:r>
              <w:rPr>
                <w:lang w:eastAsia="en-US"/>
              </w:rPr>
            </w:r>
            <w:r/>
          </w:p>
        </w:tc>
      </w:tr>
      <w:tr>
        <w:trPr>
          <w:trHeight w:val="820"/>
        </w:trPr>
        <w:tc>
          <w:tcPr>
            <w:tcW w:w="2555" w:type="dxa"/>
            <w:vAlign w:val="top"/>
            <w:textDirection w:val="lrTb"/>
            <w:noWrap w:val="false"/>
          </w:tcPr>
          <w:p>
            <w:pPr>
              <w:pStyle w:val="1198"/>
              <w:ind w:left="116"/>
              <w:spacing w:before="32" w:line="221" w:lineRule="auto"/>
              <w:rPr>
                <w:lang w:eastAsia="en-US"/>
              </w:rPr>
            </w:pPr>
            <w:r>
              <w:rPr>
                <w:spacing w:val="-4"/>
                <w:lang w:eastAsia="en-US"/>
              </w:rPr>
              <w:t xml:space="preserve">示值误差</w:t>
            </w:r>
            <w:r>
              <w:rPr>
                <w:lang w:eastAsia="en-US"/>
              </w:rPr>
            </w:r>
            <w:r/>
          </w:p>
        </w:tc>
        <w:tc>
          <w:tcPr>
            <w:tcW w:w="6272" w:type="dxa"/>
            <w:vAlign w:val="top"/>
            <w:textDirection w:val="lrTb"/>
            <w:noWrap w:val="false"/>
          </w:tcPr>
          <w:p>
            <w:pPr>
              <w:pStyle w:val="1198"/>
              <w:ind w:left="112" w:right="3423"/>
              <w:spacing w:before="31" w:line="342" w:lineRule="auto"/>
            </w:pPr>
            <w:r>
              <w:rPr>
                <w:spacing w:val="-7"/>
              </w:rPr>
              <w:t xml:space="preserve">基本量程范围内不超过±10%；</w:t>
            </w:r>
            <w:r>
              <w:rPr>
                <w:spacing w:val="-4"/>
              </w:rPr>
              <w:t xml:space="preserve">扩展量程范围内不超过±3%</w:t>
            </w:r>
            <w:r/>
          </w:p>
        </w:tc>
      </w:tr>
      <w:tr>
        <w:trPr>
          <w:trHeight w:val="415"/>
        </w:trPr>
        <w:tc>
          <w:tcPr>
            <w:tcW w:w="2555" w:type="dxa"/>
            <w:vAlign w:val="top"/>
            <w:textDirection w:val="lrTb"/>
            <w:noWrap w:val="false"/>
          </w:tcPr>
          <w:p>
            <w:pPr>
              <w:pStyle w:val="1198"/>
              <w:ind w:left="118"/>
              <w:spacing w:before="33" w:line="221" w:lineRule="auto"/>
              <w:rPr>
                <w:lang w:eastAsia="en-US"/>
              </w:rPr>
            </w:pPr>
            <w:r>
              <w:rPr>
                <w:spacing w:val="-4"/>
                <w:lang w:eastAsia="en-US"/>
              </w:rPr>
              <w:t xml:space="preserve">最小维护周期</w:t>
            </w:r>
            <w:r>
              <w:rPr>
                <w:lang w:eastAsia="en-US"/>
              </w:rPr>
            </w:r>
            <w:r/>
          </w:p>
        </w:tc>
        <w:tc>
          <w:tcPr>
            <w:tcW w:w="6272" w:type="dxa"/>
            <w:vAlign w:val="top"/>
            <w:textDirection w:val="lrTb"/>
            <w:noWrap w:val="false"/>
          </w:tcPr>
          <w:p>
            <w:pPr>
              <w:pStyle w:val="1198"/>
              <w:ind w:left="132"/>
              <w:spacing w:before="33" w:line="221" w:lineRule="auto"/>
              <w:rPr>
                <w:lang w:eastAsia="en-US"/>
              </w:rPr>
            </w:pPr>
            <w:r>
              <w:rPr>
                <w:spacing w:val="-6"/>
                <w:lang w:eastAsia="en-US"/>
              </w:rPr>
              <w:t xml:space="preserve">≥168 h/次</w:t>
            </w:r>
            <w:r>
              <w:rPr>
                <w:lang w:eastAsia="en-US"/>
              </w:rPr>
            </w:r>
            <w:r/>
          </w:p>
        </w:tc>
      </w:tr>
      <w:tr>
        <w:trPr>
          <w:trHeight w:val="412"/>
        </w:trPr>
        <w:tc>
          <w:tcPr>
            <w:tcW w:w="2555" w:type="dxa"/>
            <w:vAlign w:val="top"/>
            <w:textDirection w:val="lrTb"/>
            <w:noWrap w:val="false"/>
          </w:tcPr>
          <w:p>
            <w:pPr>
              <w:pStyle w:val="1198"/>
              <w:ind w:left="116"/>
              <w:spacing w:before="33" w:line="221" w:lineRule="auto"/>
              <w:rPr>
                <w:lang w:eastAsia="en-US"/>
              </w:rPr>
            </w:pPr>
            <w:r>
              <w:rPr>
                <w:spacing w:val="-4"/>
                <w:lang w:eastAsia="en-US"/>
              </w:rPr>
              <w:t xml:space="preserve">零点漂移</w:t>
            </w:r>
            <w:r>
              <w:rPr>
                <w:lang w:eastAsia="en-US"/>
              </w:rPr>
            </w:r>
            <w:r/>
          </w:p>
        </w:tc>
        <w:tc>
          <w:tcPr>
            <w:tcW w:w="6272" w:type="dxa"/>
            <w:vAlign w:val="top"/>
            <w:textDirection w:val="lrTb"/>
            <w:noWrap w:val="false"/>
          </w:tcPr>
          <w:p>
            <w:pPr>
              <w:pStyle w:val="1198"/>
              <w:ind w:left="137"/>
              <w:spacing w:before="32" w:line="216" w:lineRule="auto"/>
              <w:rPr>
                <w:lang w:eastAsia="en-US"/>
              </w:rPr>
            </w:pPr>
            <w:r>
              <w:rPr>
                <w:spacing w:val="-7"/>
                <w:lang w:eastAsia="en-US"/>
              </w:rPr>
              <w:t xml:space="preserve">±5mg/L</w:t>
            </w:r>
            <w:r>
              <w:rPr>
                <w:lang w:eastAsia="en-US"/>
              </w:rPr>
            </w:r>
            <w:r/>
          </w:p>
        </w:tc>
      </w:tr>
      <w:tr>
        <w:trPr>
          <w:trHeight w:val="822"/>
        </w:trPr>
        <w:tc>
          <w:tcPr>
            <w:tcW w:w="2555" w:type="dxa"/>
            <w:vAlign w:val="top"/>
            <w:textDirection w:val="lrTb"/>
            <w:noWrap w:val="false"/>
          </w:tcPr>
          <w:p>
            <w:pPr>
              <w:pStyle w:val="1198"/>
              <w:ind w:left="116"/>
              <w:spacing w:before="34" w:line="221" w:lineRule="auto"/>
              <w:rPr>
                <w:lang w:eastAsia="en-US"/>
              </w:rPr>
            </w:pPr>
            <w:r>
              <w:rPr>
                <w:spacing w:val="-4"/>
                <w:lang w:eastAsia="en-US"/>
              </w:rPr>
              <w:t xml:space="preserve">量程漂移</w:t>
            </w:r>
            <w:r>
              <w:rPr>
                <w:lang w:eastAsia="en-US"/>
              </w:rPr>
            </w:r>
            <w:r/>
          </w:p>
        </w:tc>
        <w:tc>
          <w:tcPr>
            <w:tcW w:w="6272" w:type="dxa"/>
            <w:vAlign w:val="top"/>
            <w:textDirection w:val="lrTb"/>
            <w:noWrap w:val="false"/>
          </w:tcPr>
          <w:p>
            <w:pPr>
              <w:pStyle w:val="1198"/>
              <w:ind w:left="112" w:right="3526"/>
              <w:spacing w:before="33" w:line="342" w:lineRule="auto"/>
            </w:pPr>
            <w:r>
              <w:rPr>
                <w:spacing w:val="-8"/>
              </w:rPr>
              <w:t xml:space="preserve">基本量程范围内，±10mg/L；</w:t>
            </w:r>
            <w:r>
              <w:rPr>
                <w:spacing w:val="-6"/>
              </w:rPr>
              <w:t xml:space="preserve">扩展量程范围内，±10%</w:t>
            </w:r>
            <w:r/>
          </w:p>
        </w:tc>
      </w:tr>
      <w:tr>
        <w:trPr>
          <w:trHeight w:val="825"/>
        </w:trPr>
        <w:tc>
          <w:tcPr>
            <w:tcW w:w="2555" w:type="dxa"/>
            <w:vAlign w:val="top"/>
            <w:textDirection w:val="lrTb"/>
            <w:noWrap w:val="false"/>
          </w:tcPr>
          <w:p>
            <w:pPr>
              <w:pStyle w:val="1198"/>
              <w:ind w:left="121"/>
              <w:spacing w:before="35" w:line="221" w:lineRule="auto"/>
            </w:pPr>
            <w:r>
              <w:rPr>
                <w:spacing w:val="-5"/>
              </w:rPr>
              <w:t xml:space="preserve">实际废水样品比对实验</w:t>
            </w:r>
            <w:r/>
          </w:p>
        </w:tc>
        <w:tc>
          <w:tcPr>
            <w:tcW w:w="6272" w:type="dxa"/>
            <w:vAlign w:val="top"/>
            <w:textDirection w:val="lrTb"/>
            <w:noWrap w:val="false"/>
          </w:tcPr>
          <w:p>
            <w:pPr>
              <w:pStyle w:val="1198"/>
              <w:ind w:left="110" w:right="3839"/>
              <w:spacing w:before="34" w:line="343" w:lineRule="auto"/>
              <w:rPr>
                <w:lang w:eastAsia="en-US"/>
              </w:rPr>
            </w:pPr>
            <w:r>
              <w:rPr>
                <w:spacing w:val="-4"/>
                <w:lang w:eastAsia="en-US"/>
              </w:rPr>
              <w:t xml:space="preserve">COD＜50mg/L时，≤5mg/LCOD≥50mg/L时，≤10%</w:t>
            </w:r>
            <w:r>
              <w:rPr>
                <w:lang w:eastAsia="en-US"/>
              </w:rPr>
            </w:r>
            <w:r/>
          </w:p>
        </w:tc>
      </w:tr>
    </w:tbl>
    <w:p>
      <w:pPr>
        <w:pStyle w:val="1182"/>
      </w:pPr>
      <w:r/>
      <w:r/>
    </w:p>
    <w:tbl>
      <w:tblPr>
        <w:tblW w:w="8827" w:type="dxa"/>
        <w:tblInd w:w="43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55"/>
        <w:gridCol w:w="6272"/>
      </w:tblGrid>
      <w:tr>
        <w:trPr>
          <w:trHeight w:val="417"/>
        </w:trPr>
        <w:tc>
          <w:tcPr>
            <w:tcW w:w="2555" w:type="dxa"/>
            <w:vAlign w:val="top"/>
            <w:textDirection w:val="lrTb"/>
            <w:noWrap w:val="false"/>
          </w:tcPr>
          <w:p>
            <w:pPr>
              <w:pStyle w:val="1198"/>
              <w:ind w:left="116"/>
              <w:spacing w:before="34" w:line="222" w:lineRule="auto"/>
              <w:rPr>
                <w:lang w:eastAsia="en-US"/>
              </w:rPr>
            </w:pPr>
            <w:r>
              <w:rPr>
                <w:spacing w:val="-3"/>
                <w:lang w:eastAsia="en-US"/>
              </w:rPr>
              <w:t xml:space="preserve">校准</w:t>
            </w:r>
            <w:r>
              <w:rPr>
                <w:lang w:eastAsia="en-US"/>
              </w:rPr>
            </w:r>
            <w:r/>
          </w:p>
        </w:tc>
        <w:tc>
          <w:tcPr>
            <w:tcW w:w="6272" w:type="dxa"/>
            <w:vAlign w:val="top"/>
            <w:textDirection w:val="lrTb"/>
            <w:noWrap w:val="false"/>
          </w:tcPr>
          <w:p>
            <w:pPr>
              <w:pStyle w:val="1198"/>
              <w:ind w:left="112"/>
              <w:spacing w:before="34" w:line="222" w:lineRule="auto"/>
              <w:rPr>
                <w:lang w:eastAsia="en-US"/>
              </w:rPr>
            </w:pPr>
            <w:r>
              <w:rPr>
                <w:spacing w:val="-4"/>
                <w:lang w:eastAsia="en-US"/>
              </w:rPr>
              <w:t xml:space="preserve">手动校准和自动校准</w:t>
            </w:r>
            <w:r>
              <w:rPr>
                <w:lang w:eastAsia="en-US"/>
              </w:rPr>
            </w:r>
            <w:r/>
          </w:p>
        </w:tc>
      </w:tr>
      <w:tr>
        <w:trPr>
          <w:trHeight w:val="414"/>
        </w:trPr>
        <w:tc>
          <w:tcPr>
            <w:gridSpan w:val="2"/>
            <w:tcW w:w="8827" w:type="dxa"/>
            <w:vAlign w:val="top"/>
            <w:textDirection w:val="lrTb"/>
            <w:noWrap w:val="false"/>
          </w:tcPr>
          <w:p>
            <w:pPr>
              <w:pStyle w:val="1198"/>
              <w:ind w:left="116"/>
              <w:spacing w:before="30" w:line="221" w:lineRule="auto"/>
              <w:rPr>
                <w:lang w:eastAsia="en-US"/>
              </w:rPr>
            </w:pPr>
            <w:r>
              <w:rPr>
                <w:spacing w:val="-4"/>
                <w:lang w:eastAsia="en-US"/>
              </w:rPr>
              <w:t xml:space="preserve">物理参数和环境参数</w:t>
            </w:r>
            <w:r>
              <w:rPr>
                <w:lang w:eastAsia="en-US"/>
              </w:rPr>
            </w:r>
            <w:r/>
          </w:p>
        </w:tc>
      </w:tr>
      <w:tr>
        <w:trPr>
          <w:trHeight w:val="820"/>
        </w:trPr>
        <w:tc>
          <w:tcPr>
            <w:tcW w:w="2555" w:type="dxa"/>
            <w:vAlign w:val="top"/>
            <w:textDirection w:val="lrTb"/>
            <w:noWrap w:val="false"/>
          </w:tcPr>
          <w:p>
            <w:pPr>
              <w:pStyle w:val="1198"/>
              <w:ind w:left="115"/>
              <w:spacing w:before="30" w:line="221" w:lineRule="auto"/>
              <w:rPr>
                <w:lang w:eastAsia="en-US"/>
              </w:rPr>
            </w:pPr>
            <w:r>
              <w:rPr>
                <w:spacing w:val="-6"/>
                <w:lang w:eastAsia="en-US"/>
              </w:rPr>
              <w:t xml:space="preserve">尺寸（约为）</w:t>
            </w:r>
            <w:r>
              <w:rPr>
                <w:lang w:eastAsia="en-US"/>
              </w:rPr>
            </w:r>
            <w:r/>
          </w:p>
        </w:tc>
        <w:tc>
          <w:tcPr>
            <w:tcW w:w="6272" w:type="dxa"/>
            <w:vAlign w:val="top"/>
            <w:textDirection w:val="lrTb"/>
            <w:noWrap w:val="false"/>
          </w:tcPr>
          <w:p>
            <w:pPr>
              <w:pStyle w:val="1198"/>
              <w:ind w:left="112"/>
              <w:spacing w:before="31" w:line="221" w:lineRule="auto"/>
            </w:pPr>
            <w:r>
              <w:rPr>
                <w:spacing w:val="-4"/>
              </w:rPr>
              <w:t xml:space="preserve">仪表：宽350mm×高400mm×深320mm</w:t>
            </w:r>
            <w:r/>
          </w:p>
          <w:p>
            <w:pPr>
              <w:pStyle w:val="1198"/>
              <w:ind w:left="112"/>
              <w:spacing w:before="155" w:line="221" w:lineRule="auto"/>
            </w:pPr>
            <w:r>
              <w:rPr>
                <w:spacing w:val="-4"/>
              </w:rPr>
              <w:t xml:space="preserve">试剂仓：宽350mm×高380mm×深320mm</w:t>
            </w:r>
            <w:r/>
          </w:p>
        </w:tc>
      </w:tr>
      <w:tr>
        <w:trPr>
          <w:trHeight w:val="414"/>
        </w:trPr>
        <w:tc>
          <w:tcPr>
            <w:tcW w:w="2555" w:type="dxa"/>
            <w:vAlign w:val="top"/>
            <w:textDirection w:val="lrTb"/>
            <w:noWrap w:val="false"/>
          </w:tcPr>
          <w:p>
            <w:pPr>
              <w:pStyle w:val="1198"/>
              <w:ind w:left="116"/>
              <w:spacing w:before="31" w:line="222" w:lineRule="auto"/>
              <w:rPr>
                <w:lang w:eastAsia="en-US"/>
              </w:rPr>
            </w:pPr>
            <w:r>
              <w:rPr>
                <w:spacing w:val="-4"/>
                <w:lang w:eastAsia="en-US"/>
              </w:rPr>
              <w:t xml:space="preserve">环境温度</w:t>
            </w:r>
            <w:r>
              <w:rPr>
                <w:lang w:eastAsia="en-US"/>
              </w:rPr>
            </w:r>
            <w:r/>
          </w:p>
        </w:tc>
        <w:tc>
          <w:tcPr>
            <w:tcW w:w="6272" w:type="dxa"/>
            <w:vAlign w:val="top"/>
            <w:textDirection w:val="lrTb"/>
            <w:noWrap w:val="false"/>
          </w:tcPr>
          <w:p>
            <w:pPr>
              <w:pStyle w:val="1198"/>
              <w:ind w:left="113"/>
              <w:spacing w:before="31" w:line="239" w:lineRule="auto"/>
              <w:rPr>
                <w:lang w:eastAsia="en-US"/>
              </w:rPr>
            </w:pPr>
            <w:r>
              <w:rPr>
                <w:spacing w:val="12"/>
                <w:lang w:eastAsia="en-US"/>
              </w:rPr>
              <w:t xml:space="preserve">+5℃~40℃</w:t>
            </w:r>
            <w:r>
              <w:rPr>
                <w:lang w:eastAsia="en-US"/>
              </w:rPr>
            </w:r>
            <w:r/>
          </w:p>
        </w:tc>
      </w:tr>
      <w:tr>
        <w:trPr>
          <w:trHeight w:val="412"/>
        </w:trPr>
        <w:tc>
          <w:tcPr>
            <w:tcW w:w="2555" w:type="dxa"/>
            <w:vAlign w:val="top"/>
            <w:textDirection w:val="lrTb"/>
            <w:noWrap w:val="false"/>
          </w:tcPr>
          <w:p>
            <w:pPr>
              <w:pStyle w:val="1198"/>
              <w:ind w:left="116"/>
              <w:spacing w:before="32" w:line="222" w:lineRule="auto"/>
              <w:rPr>
                <w:lang w:eastAsia="en-US"/>
              </w:rPr>
            </w:pPr>
            <w:r>
              <w:rPr>
                <w:spacing w:val="-3"/>
                <w:lang w:eastAsia="en-US"/>
              </w:rPr>
              <w:t xml:space="preserve">湿度</w:t>
            </w:r>
            <w:r>
              <w:rPr>
                <w:lang w:eastAsia="en-US"/>
              </w:rPr>
            </w:r>
            <w:r/>
          </w:p>
        </w:tc>
        <w:tc>
          <w:tcPr>
            <w:tcW w:w="6272" w:type="dxa"/>
            <w:vAlign w:val="top"/>
            <w:textDirection w:val="lrTb"/>
            <w:noWrap w:val="false"/>
          </w:tcPr>
          <w:p>
            <w:pPr>
              <w:pStyle w:val="1198"/>
              <w:ind w:left="118"/>
              <w:spacing w:before="32" w:line="222" w:lineRule="auto"/>
              <w:rPr>
                <w:lang w:eastAsia="en-US"/>
              </w:rPr>
            </w:pPr>
            <w:r>
              <w:rPr>
                <w:spacing w:val="-5"/>
                <w:lang w:eastAsia="en-US"/>
              </w:rPr>
              <w:t xml:space="preserve">（65±20）%（不结露）</w:t>
            </w:r>
            <w:r>
              <w:rPr>
                <w:lang w:eastAsia="en-US"/>
              </w:rPr>
            </w:r>
            <w:r/>
          </w:p>
        </w:tc>
      </w:tr>
      <w:tr>
        <w:trPr>
          <w:trHeight w:val="412"/>
        </w:trPr>
        <w:tc>
          <w:tcPr>
            <w:gridSpan w:val="2"/>
            <w:tcW w:w="8827" w:type="dxa"/>
            <w:vAlign w:val="top"/>
            <w:textDirection w:val="lrTb"/>
            <w:noWrap w:val="false"/>
          </w:tcPr>
          <w:p>
            <w:pPr>
              <w:pStyle w:val="1198"/>
              <w:ind w:left="116"/>
              <w:spacing w:before="33" w:line="221" w:lineRule="auto"/>
              <w:rPr>
                <w:lang w:eastAsia="en-US"/>
              </w:rPr>
            </w:pPr>
            <w:r>
              <w:rPr>
                <w:spacing w:val="-4"/>
                <w:lang w:eastAsia="en-US"/>
              </w:rPr>
              <w:t xml:space="preserve">其他技术参数</w:t>
            </w:r>
            <w:r>
              <w:rPr>
                <w:lang w:eastAsia="en-US"/>
              </w:rPr>
            </w:r>
            <w:r/>
          </w:p>
        </w:tc>
      </w:tr>
      <w:tr>
        <w:trPr>
          <w:trHeight w:val="414"/>
        </w:trPr>
        <w:tc>
          <w:tcPr>
            <w:tcW w:w="2555" w:type="dxa"/>
            <w:vAlign w:val="top"/>
            <w:textDirection w:val="lrTb"/>
            <w:noWrap w:val="false"/>
          </w:tcPr>
          <w:p>
            <w:pPr>
              <w:pStyle w:val="1198"/>
              <w:ind w:left="140"/>
              <w:spacing w:before="35" w:line="223" w:lineRule="auto"/>
              <w:rPr>
                <w:lang w:eastAsia="en-US"/>
              </w:rPr>
            </w:pPr>
            <w:r>
              <w:rPr>
                <w:spacing w:val="-9"/>
                <w:lang w:eastAsia="en-US"/>
              </w:rPr>
              <w:t xml:space="preserve">电源要求</w:t>
            </w:r>
            <w:r>
              <w:rPr>
                <w:lang w:eastAsia="en-US"/>
              </w:rPr>
            </w:r>
            <w:r/>
          </w:p>
        </w:tc>
        <w:tc>
          <w:tcPr>
            <w:tcW w:w="6272" w:type="dxa"/>
            <w:vAlign w:val="top"/>
            <w:textDirection w:val="lrTb"/>
            <w:noWrap w:val="false"/>
          </w:tcPr>
          <w:p>
            <w:pPr>
              <w:pStyle w:val="1198"/>
              <w:ind w:left="105"/>
              <w:spacing w:before="36" w:line="224" w:lineRule="auto"/>
              <w:rPr>
                <w:lang w:eastAsia="en-US"/>
              </w:rPr>
            </w:pPr>
            <w:r>
              <w:rPr>
                <w:spacing w:val="-2"/>
                <w:lang w:eastAsia="en-US"/>
              </w:rPr>
              <w:t xml:space="preserve">AC(220±22)V/(50±0.5)Hz</w:t>
            </w:r>
            <w:r>
              <w:rPr>
                <w:lang w:eastAsia="en-US"/>
              </w:rPr>
            </w:r>
            <w:r/>
          </w:p>
        </w:tc>
      </w:tr>
      <w:tr>
        <w:trPr>
          <w:trHeight w:val="417"/>
        </w:trPr>
        <w:tc>
          <w:tcPr>
            <w:tcW w:w="2555" w:type="dxa"/>
            <w:vAlign w:val="top"/>
            <w:textDirection w:val="lrTb"/>
            <w:noWrap w:val="false"/>
          </w:tcPr>
          <w:p>
            <w:pPr>
              <w:pStyle w:val="1198"/>
              <w:ind w:left="115"/>
              <w:spacing w:before="34" w:line="221" w:lineRule="auto"/>
              <w:rPr>
                <w:lang w:eastAsia="en-US"/>
              </w:rPr>
            </w:pPr>
            <w:r>
              <w:rPr>
                <w:spacing w:val="-4"/>
                <w:lang w:eastAsia="en-US"/>
              </w:rPr>
              <w:t xml:space="preserve">模拟输出及通讯</w:t>
            </w:r>
            <w:r>
              <w:rPr>
                <w:lang w:eastAsia="en-US"/>
              </w:rPr>
            </w:r>
            <w:r/>
          </w:p>
        </w:tc>
        <w:tc>
          <w:tcPr>
            <w:tcW w:w="6272" w:type="dxa"/>
            <w:vAlign w:val="top"/>
            <w:textDirection w:val="lrTb"/>
            <w:noWrap w:val="false"/>
          </w:tcPr>
          <w:p>
            <w:pPr>
              <w:pStyle w:val="1198"/>
              <w:ind w:left="111"/>
              <w:spacing w:before="35" w:line="226" w:lineRule="auto"/>
              <w:rPr>
                <w:lang w:eastAsia="en-US"/>
              </w:rPr>
            </w:pPr>
            <w:r>
              <w:rPr>
                <w:spacing w:val="-3"/>
                <w:lang w:eastAsia="en-US"/>
              </w:rPr>
              <w:t xml:space="preserve">4～20mA RS232/RS485</w:t>
            </w:r>
            <w:r>
              <w:rPr>
                <w:lang w:eastAsia="en-US"/>
              </w:rPr>
            </w:r>
            <w:r/>
          </w:p>
        </w:tc>
      </w:tr>
    </w:tbl>
    <w:p>
      <w:pPr>
        <w:pStyle w:val="1011"/>
        <w:ind w:left="455"/>
        <w:spacing w:before="171" w:line="219" w:lineRule="auto"/>
        <w:rPr>
          <w:rFonts w:ascii="宋体" w:hAnsi="宋体" w:cs="宋体"/>
        </w:rPr>
      </w:pPr>
      <w:r>
        <w:rPr>
          <w:rFonts w:ascii="宋体" w:hAnsi="宋体" w:cs="宋体"/>
          <w:spacing w:val="-1"/>
        </w:rPr>
        <w:t xml:space="preserve">③氨氮水质在线分析仪</w:t>
      </w:r>
      <w:r>
        <w:rPr>
          <w:rFonts w:ascii="宋体" w:hAnsi="宋体" w:cs="宋体"/>
        </w:rPr>
      </w:r>
      <w:r/>
    </w:p>
    <w:p>
      <w:pPr>
        <w:pStyle w:val="1011"/>
        <w:spacing w:line="20" w:lineRule="exact"/>
      </w:pPr>
      <w:r/>
      <w:r/>
    </w:p>
    <w:tbl>
      <w:tblPr>
        <w:tblW w:w="8524" w:type="dxa"/>
        <w:tblInd w:w="58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06"/>
        <w:gridCol w:w="6318"/>
      </w:tblGrid>
      <w:tr>
        <w:trPr>
          <w:trHeight w:val="417"/>
        </w:trPr>
        <w:tc>
          <w:tcPr>
            <w:gridSpan w:val="2"/>
            <w:tcW w:w="8524" w:type="dxa"/>
            <w:vAlign w:val="top"/>
            <w:textDirection w:val="lrTb"/>
            <w:noWrap w:val="false"/>
          </w:tcPr>
          <w:p>
            <w:pPr>
              <w:pStyle w:val="1198"/>
              <w:ind w:left="115"/>
              <w:spacing w:before="33" w:line="221" w:lineRule="auto"/>
              <w:rPr>
                <w:lang w:eastAsia="en-US"/>
              </w:rPr>
            </w:pPr>
            <w:r>
              <w:rPr>
                <w:spacing w:val="-4"/>
                <w:lang w:eastAsia="en-US"/>
              </w:rPr>
              <w:t xml:space="preserve">氨氮性能参数</w:t>
            </w:r>
            <w:r>
              <w:rPr>
                <w:lang w:eastAsia="en-US"/>
              </w:rPr>
            </w:r>
            <w:r/>
          </w:p>
        </w:tc>
      </w:tr>
      <w:tr>
        <w:trPr>
          <w:trHeight w:val="412"/>
        </w:trPr>
        <w:tc>
          <w:tcPr>
            <w:tcW w:w="2206" w:type="dxa"/>
            <w:vAlign w:val="top"/>
            <w:textDirection w:val="lrTb"/>
            <w:noWrap w:val="false"/>
          </w:tcPr>
          <w:p>
            <w:pPr>
              <w:pStyle w:val="1198"/>
              <w:ind w:left="116"/>
              <w:spacing w:before="29" w:line="223" w:lineRule="auto"/>
              <w:rPr>
                <w:lang w:eastAsia="en-US"/>
              </w:rPr>
            </w:pPr>
            <w:r>
              <w:rPr>
                <w:spacing w:val="-4"/>
                <w:lang w:eastAsia="en-US"/>
              </w:rPr>
              <w:t xml:space="preserve">测量方法</w:t>
            </w:r>
            <w:r>
              <w:rPr>
                <w:lang w:eastAsia="en-US"/>
              </w:rPr>
            </w:r>
            <w:r/>
          </w:p>
        </w:tc>
        <w:tc>
          <w:tcPr>
            <w:tcW w:w="6318" w:type="dxa"/>
            <w:vAlign w:val="top"/>
            <w:textDirection w:val="lrTb"/>
            <w:noWrap w:val="false"/>
          </w:tcPr>
          <w:p>
            <w:pPr>
              <w:pStyle w:val="1198"/>
              <w:ind w:left="113"/>
              <w:spacing w:before="29" w:line="220" w:lineRule="auto"/>
            </w:pPr>
            <w:r>
              <w:rPr>
                <w:spacing w:val="-3"/>
              </w:rPr>
              <w:t xml:space="preserve">基于 水质-氨氮的测定-水杨酸分光光度法（HJ</w:t>
            </w:r>
            <w:r>
              <w:rPr>
                <w:spacing w:val="-4"/>
              </w:rPr>
              <w:t xml:space="preserve"> 536-2009）</w:t>
            </w:r>
            <w:r/>
          </w:p>
        </w:tc>
      </w:tr>
      <w:tr>
        <w:trPr>
          <w:trHeight w:val="823"/>
        </w:trPr>
        <w:tc>
          <w:tcPr>
            <w:tcW w:w="2206" w:type="dxa"/>
            <w:vAlign w:val="top"/>
            <w:textDirection w:val="lrTb"/>
            <w:noWrap w:val="false"/>
          </w:tcPr>
          <w:p>
            <w:pPr>
              <w:pStyle w:val="1198"/>
              <w:ind w:left="116"/>
              <w:spacing w:before="33" w:line="222" w:lineRule="auto"/>
              <w:rPr>
                <w:lang w:eastAsia="en-US"/>
              </w:rPr>
            </w:pPr>
            <w:r>
              <w:rPr>
                <w:spacing w:val="-4"/>
                <w:lang w:eastAsia="en-US"/>
              </w:rPr>
              <w:t xml:space="preserve">量程范围</w:t>
            </w:r>
            <w:r>
              <w:rPr>
                <w:lang w:eastAsia="en-US"/>
              </w:rPr>
            </w:r>
            <w:r/>
          </w:p>
        </w:tc>
        <w:tc>
          <w:tcPr>
            <w:tcW w:w="6318" w:type="dxa"/>
            <w:vAlign w:val="top"/>
            <w:textDirection w:val="lrTb"/>
            <w:noWrap w:val="false"/>
          </w:tcPr>
          <w:p>
            <w:pPr>
              <w:pStyle w:val="1198"/>
              <w:ind w:left="113" w:right="4034"/>
              <w:spacing w:before="32" w:line="343" w:lineRule="auto"/>
              <w:rPr>
                <w:lang w:eastAsia="en-US"/>
              </w:rPr>
            </w:pPr>
            <w:r>
              <w:rPr>
                <w:spacing w:val="-7"/>
                <w:lang w:eastAsia="en-US"/>
              </w:rPr>
              <w:t xml:space="preserve">基本量程0.2～12mg/L；</w:t>
            </w:r>
            <w:r>
              <w:rPr>
                <w:spacing w:val="-5"/>
                <w:lang w:eastAsia="en-US"/>
              </w:rPr>
              <w:t xml:space="preserve">扩展量程100mg/L</w:t>
            </w:r>
            <w:r>
              <w:rPr>
                <w:lang w:eastAsia="en-US"/>
              </w:rPr>
            </w:r>
            <w:r/>
          </w:p>
        </w:tc>
      </w:tr>
      <w:tr>
        <w:trPr>
          <w:trHeight w:val="412"/>
        </w:trPr>
        <w:tc>
          <w:tcPr>
            <w:tcW w:w="2206" w:type="dxa"/>
            <w:vAlign w:val="top"/>
            <w:textDirection w:val="lrTb"/>
            <w:noWrap w:val="false"/>
          </w:tcPr>
          <w:p>
            <w:pPr>
              <w:pStyle w:val="1198"/>
              <w:ind w:left="116"/>
              <w:spacing w:before="30" w:line="222" w:lineRule="auto"/>
              <w:rPr>
                <w:lang w:eastAsia="en-US"/>
              </w:rPr>
            </w:pPr>
            <w:r>
              <w:rPr>
                <w:spacing w:val="-4"/>
                <w:lang w:eastAsia="en-US"/>
              </w:rPr>
              <w:t xml:space="preserve">重复性</w:t>
            </w:r>
            <w:r>
              <w:rPr>
                <w:lang w:eastAsia="en-US"/>
              </w:rPr>
            </w:r>
            <w:r/>
          </w:p>
        </w:tc>
        <w:tc>
          <w:tcPr>
            <w:tcW w:w="6318" w:type="dxa"/>
            <w:vAlign w:val="top"/>
            <w:textDirection w:val="lrTb"/>
            <w:noWrap w:val="false"/>
          </w:tcPr>
          <w:p>
            <w:pPr>
              <w:pStyle w:val="1198"/>
              <w:ind w:left="128"/>
              <w:spacing w:before="30" w:line="238" w:lineRule="auto"/>
              <w:rPr>
                <w:lang w:eastAsia="en-US"/>
              </w:rPr>
            </w:pPr>
            <w:r>
              <w:rPr>
                <w:spacing w:val="-9"/>
                <w:lang w:eastAsia="en-US"/>
              </w:rPr>
              <w:t xml:space="preserve">≤2%</w:t>
            </w:r>
            <w:r>
              <w:rPr>
                <w:lang w:eastAsia="en-US"/>
              </w:rPr>
            </w:r>
            <w:r/>
          </w:p>
        </w:tc>
      </w:tr>
      <w:tr>
        <w:trPr>
          <w:trHeight w:val="823"/>
        </w:trPr>
        <w:tc>
          <w:tcPr>
            <w:tcW w:w="2206" w:type="dxa"/>
            <w:vAlign w:val="top"/>
            <w:textDirection w:val="lrTb"/>
            <w:noWrap w:val="false"/>
          </w:tcPr>
          <w:p>
            <w:pPr>
              <w:pStyle w:val="1198"/>
              <w:ind w:left="116"/>
              <w:spacing w:before="33" w:line="221" w:lineRule="auto"/>
              <w:rPr>
                <w:lang w:eastAsia="en-US"/>
              </w:rPr>
            </w:pPr>
            <w:r>
              <w:rPr>
                <w:spacing w:val="-4"/>
                <w:lang w:eastAsia="en-US"/>
              </w:rPr>
              <w:t xml:space="preserve">示值误差</w:t>
            </w:r>
            <w:r>
              <w:rPr>
                <w:lang w:eastAsia="en-US"/>
              </w:rPr>
            </w:r>
            <w:r/>
          </w:p>
        </w:tc>
        <w:tc>
          <w:tcPr>
            <w:tcW w:w="6318" w:type="dxa"/>
            <w:vAlign w:val="top"/>
            <w:textDirection w:val="lrTb"/>
            <w:noWrap w:val="false"/>
          </w:tcPr>
          <w:p>
            <w:pPr>
              <w:pStyle w:val="1198"/>
              <w:ind w:left="114" w:right="3421"/>
              <w:spacing w:before="32" w:line="343" w:lineRule="auto"/>
              <w:rPr>
                <w:lang w:eastAsia="en-US"/>
              </w:rPr>
            </w:pPr>
            <w:r>
              <w:rPr>
                <w:spacing w:val="-3"/>
                <w:lang w:eastAsia="en-US"/>
              </w:rPr>
              <w:t xml:space="preserve">示值≤2.0mg/L：≤±0.2mg/L;示值﹥2.0mg/L：≤±10%</w:t>
            </w:r>
            <w:r>
              <w:rPr>
                <w:lang w:eastAsia="en-US"/>
              </w:rPr>
            </w:r>
            <w:r/>
          </w:p>
        </w:tc>
      </w:tr>
      <w:tr>
        <w:trPr>
          <w:trHeight w:val="412"/>
        </w:trPr>
        <w:tc>
          <w:tcPr>
            <w:tcW w:w="2206" w:type="dxa"/>
            <w:vAlign w:val="top"/>
            <w:textDirection w:val="lrTb"/>
            <w:noWrap w:val="false"/>
          </w:tcPr>
          <w:p>
            <w:pPr>
              <w:pStyle w:val="1198"/>
              <w:ind w:left="116"/>
              <w:spacing w:before="31" w:line="221" w:lineRule="auto"/>
              <w:rPr>
                <w:lang w:eastAsia="en-US"/>
              </w:rPr>
            </w:pPr>
            <w:r>
              <w:rPr>
                <w:spacing w:val="-4"/>
                <w:lang w:eastAsia="en-US"/>
              </w:rPr>
              <w:t xml:space="preserve">零点漂移</w:t>
            </w:r>
            <w:r>
              <w:rPr>
                <w:lang w:eastAsia="en-US"/>
              </w:rPr>
            </w:r>
            <w:r/>
          </w:p>
        </w:tc>
        <w:tc>
          <w:tcPr>
            <w:tcW w:w="6318" w:type="dxa"/>
            <w:vAlign w:val="top"/>
            <w:textDirection w:val="lrTb"/>
            <w:noWrap w:val="false"/>
          </w:tcPr>
          <w:p>
            <w:pPr>
              <w:pStyle w:val="1198"/>
              <w:ind w:left="137"/>
              <w:spacing w:before="30" w:line="216" w:lineRule="auto"/>
              <w:rPr>
                <w:lang w:eastAsia="en-US"/>
              </w:rPr>
            </w:pPr>
            <w:r>
              <w:rPr>
                <w:spacing w:val="-5"/>
                <w:lang w:eastAsia="en-US"/>
              </w:rPr>
              <w:t xml:space="preserve">±0.1mg/L</w:t>
            </w:r>
            <w:r>
              <w:rPr>
                <w:lang w:eastAsia="en-US"/>
              </w:rPr>
            </w:r>
            <w:r/>
          </w:p>
        </w:tc>
      </w:tr>
      <w:tr>
        <w:trPr>
          <w:trHeight w:val="415"/>
        </w:trPr>
        <w:tc>
          <w:tcPr>
            <w:tcW w:w="2206" w:type="dxa"/>
            <w:vAlign w:val="top"/>
            <w:textDirection w:val="lrTb"/>
            <w:noWrap w:val="false"/>
          </w:tcPr>
          <w:p>
            <w:pPr>
              <w:pStyle w:val="1198"/>
              <w:ind w:left="116"/>
              <w:spacing w:before="34" w:line="221" w:lineRule="auto"/>
              <w:rPr>
                <w:lang w:eastAsia="en-US"/>
              </w:rPr>
            </w:pPr>
            <w:r>
              <w:rPr>
                <w:spacing w:val="-4"/>
                <w:lang w:eastAsia="en-US"/>
              </w:rPr>
              <w:t xml:space="preserve">量程漂移</w:t>
            </w:r>
            <w:r>
              <w:rPr>
                <w:lang w:eastAsia="en-US"/>
              </w:rPr>
            </w:r>
            <w:r/>
          </w:p>
        </w:tc>
        <w:tc>
          <w:tcPr>
            <w:tcW w:w="6318" w:type="dxa"/>
            <w:vAlign w:val="top"/>
            <w:textDirection w:val="lrTb"/>
            <w:noWrap w:val="false"/>
          </w:tcPr>
          <w:p>
            <w:pPr>
              <w:pStyle w:val="1198"/>
              <w:ind w:left="137"/>
              <w:spacing w:before="33" w:line="216" w:lineRule="auto"/>
              <w:rPr>
                <w:lang w:eastAsia="en-US"/>
              </w:rPr>
            </w:pPr>
            <w:r>
              <w:rPr>
                <w:spacing w:val="-6"/>
                <w:lang w:eastAsia="en-US"/>
              </w:rPr>
              <w:t xml:space="preserve">±0.5mg/L</w:t>
            </w:r>
            <w:r>
              <w:rPr>
                <w:lang w:eastAsia="en-US"/>
              </w:rPr>
            </w:r>
            <w:r/>
          </w:p>
        </w:tc>
      </w:tr>
      <w:tr>
        <w:trPr>
          <w:trHeight w:val="820"/>
        </w:trPr>
        <w:tc>
          <w:tcPr>
            <w:tcW w:w="2206" w:type="dxa"/>
            <w:vAlign w:val="top"/>
            <w:textDirection w:val="lrTb"/>
            <w:noWrap w:val="false"/>
          </w:tcPr>
          <w:p>
            <w:pPr>
              <w:pStyle w:val="1198"/>
              <w:ind w:left="115"/>
              <w:spacing w:before="31" w:line="222" w:lineRule="auto"/>
              <w:rPr>
                <w:lang w:eastAsia="en-US"/>
              </w:rPr>
            </w:pPr>
            <w:r>
              <w:rPr>
                <w:spacing w:val="-4"/>
                <w:lang w:eastAsia="en-US"/>
              </w:rPr>
              <w:t xml:space="preserve">记忆效应</w:t>
            </w:r>
            <w:r>
              <w:rPr>
                <w:lang w:eastAsia="en-US"/>
              </w:rPr>
            </w:r>
            <w:r/>
          </w:p>
        </w:tc>
        <w:tc>
          <w:tcPr>
            <w:tcW w:w="6318" w:type="dxa"/>
            <w:vAlign w:val="top"/>
            <w:textDirection w:val="lrTb"/>
            <w:noWrap w:val="false"/>
          </w:tcPr>
          <w:p>
            <w:pPr>
              <w:pStyle w:val="1198"/>
              <w:ind w:left="114" w:right="2698" w:firstLine="1"/>
              <w:spacing w:before="31" w:line="342" w:lineRule="auto"/>
            </w:pPr>
            <w:r>
              <w:rPr>
                <w:spacing w:val="-4"/>
              </w:rPr>
              <w:t xml:space="preserve">20%量程标液，记忆效应误差±0.3mg/L80%量程标液，记忆效应误差±0.2mg/L</w:t>
            </w:r>
            <w:r/>
          </w:p>
        </w:tc>
      </w:tr>
      <w:tr>
        <w:trPr>
          <w:trHeight w:val="415"/>
        </w:trPr>
        <w:tc>
          <w:tcPr>
            <w:tcW w:w="2206" w:type="dxa"/>
            <w:vAlign w:val="top"/>
            <w:textDirection w:val="lrTb"/>
            <w:noWrap w:val="false"/>
          </w:tcPr>
          <w:p>
            <w:pPr>
              <w:pStyle w:val="1198"/>
              <w:ind w:left="140"/>
              <w:spacing w:before="34" w:line="222" w:lineRule="auto"/>
              <w:rPr>
                <w:lang w:eastAsia="en-US"/>
              </w:rPr>
            </w:pPr>
            <w:r>
              <w:rPr>
                <w:spacing w:val="-7"/>
                <w:lang w:eastAsia="en-US"/>
              </w:rPr>
              <w:t xml:space="preserve">电压影响实验</w:t>
            </w:r>
            <w:r>
              <w:rPr>
                <w:lang w:eastAsia="en-US"/>
              </w:rPr>
            </w:r>
            <w:r/>
          </w:p>
        </w:tc>
        <w:tc>
          <w:tcPr>
            <w:tcW w:w="6318" w:type="dxa"/>
            <w:vAlign w:val="top"/>
            <w:textDirection w:val="lrTb"/>
            <w:noWrap w:val="false"/>
          </w:tcPr>
          <w:p>
            <w:pPr>
              <w:pStyle w:val="1198"/>
              <w:ind w:left="137"/>
              <w:spacing w:before="34" w:line="237" w:lineRule="auto"/>
              <w:rPr>
                <w:lang w:eastAsia="en-US"/>
              </w:rPr>
            </w:pPr>
            <w:r>
              <w:rPr>
                <w:spacing w:val="-7"/>
                <w:lang w:eastAsia="en-US"/>
              </w:rPr>
              <w:t xml:space="preserve">±5.0%</w:t>
            </w:r>
            <w:r>
              <w:rPr>
                <w:lang w:eastAsia="en-US"/>
              </w:rPr>
            </w:r>
            <w:r/>
          </w:p>
        </w:tc>
      </w:tr>
      <w:tr>
        <w:trPr>
          <w:trHeight w:val="412"/>
        </w:trPr>
        <w:tc>
          <w:tcPr>
            <w:tcW w:w="2206" w:type="dxa"/>
            <w:vAlign w:val="top"/>
            <w:textDirection w:val="lrTb"/>
            <w:noWrap w:val="false"/>
          </w:tcPr>
          <w:p>
            <w:pPr>
              <w:pStyle w:val="1198"/>
              <w:ind w:left="113"/>
              <w:spacing w:before="32" w:line="216" w:lineRule="auto"/>
              <w:rPr>
                <w:lang w:eastAsia="en-US"/>
              </w:rPr>
            </w:pPr>
            <w:r>
              <w:rPr>
                <w:spacing w:val="-4"/>
                <w:lang w:eastAsia="en-US"/>
              </w:rPr>
              <w:t xml:space="preserve">pH影响实验</w:t>
            </w:r>
            <w:r>
              <w:rPr>
                <w:lang w:eastAsia="en-US"/>
              </w:rPr>
            </w:r>
            <w:r/>
          </w:p>
        </w:tc>
        <w:tc>
          <w:tcPr>
            <w:tcW w:w="6318" w:type="dxa"/>
            <w:vAlign w:val="top"/>
            <w:textDirection w:val="lrTb"/>
            <w:noWrap w:val="false"/>
          </w:tcPr>
          <w:p>
            <w:pPr>
              <w:pStyle w:val="1198"/>
              <w:ind w:left="137"/>
              <w:spacing w:before="32" w:line="237" w:lineRule="auto"/>
              <w:rPr>
                <w:lang w:eastAsia="en-US"/>
              </w:rPr>
            </w:pPr>
            <w:r>
              <w:rPr>
                <w:spacing w:val="-7"/>
                <w:lang w:eastAsia="en-US"/>
              </w:rPr>
              <w:t xml:space="preserve">±6.0%</w:t>
            </w:r>
            <w:r>
              <w:rPr>
                <w:lang w:eastAsia="en-US"/>
              </w:rPr>
            </w:r>
            <w:r/>
          </w:p>
        </w:tc>
      </w:tr>
      <w:tr>
        <w:trPr>
          <w:trHeight w:val="415"/>
        </w:trPr>
        <w:tc>
          <w:tcPr>
            <w:tcW w:w="2206" w:type="dxa"/>
            <w:vAlign w:val="top"/>
            <w:textDirection w:val="lrTb"/>
            <w:noWrap w:val="false"/>
          </w:tcPr>
          <w:p>
            <w:pPr>
              <w:pStyle w:val="1198"/>
              <w:ind w:left="116"/>
              <w:spacing w:before="33" w:line="221" w:lineRule="auto"/>
              <w:rPr>
                <w:lang w:eastAsia="en-US"/>
              </w:rPr>
            </w:pPr>
            <w:r>
              <w:rPr>
                <w:spacing w:val="-4"/>
                <w:lang w:eastAsia="en-US"/>
              </w:rPr>
              <w:t xml:space="preserve">稳定性</w:t>
            </w:r>
            <w:r>
              <w:rPr>
                <w:lang w:eastAsia="en-US"/>
              </w:rPr>
            </w:r>
            <w:r/>
          </w:p>
        </w:tc>
        <w:tc>
          <w:tcPr>
            <w:tcW w:w="6318" w:type="dxa"/>
            <w:vAlign w:val="top"/>
            <w:textDirection w:val="lrTb"/>
            <w:noWrap w:val="false"/>
          </w:tcPr>
          <w:p>
            <w:pPr>
              <w:pStyle w:val="1198"/>
              <w:ind w:left="112"/>
              <w:spacing w:before="33" w:line="221" w:lineRule="auto"/>
              <w:rPr>
                <w:lang w:eastAsia="en-US"/>
              </w:rPr>
            </w:pPr>
            <w:r>
              <w:rPr>
                <w:spacing w:val="-6"/>
                <w:lang w:eastAsia="en-US"/>
              </w:rPr>
              <w:t xml:space="preserve">4h内不超过±10%</w:t>
            </w:r>
            <w:r>
              <w:rPr>
                <w:lang w:eastAsia="en-US"/>
              </w:rPr>
            </w:r>
            <w:r/>
          </w:p>
        </w:tc>
      </w:tr>
      <w:tr>
        <w:trPr>
          <w:trHeight w:val="413"/>
        </w:trPr>
        <w:tc>
          <w:tcPr>
            <w:tcW w:w="2206" w:type="dxa"/>
            <w:vAlign w:val="top"/>
            <w:textDirection w:val="lrTb"/>
            <w:noWrap w:val="false"/>
          </w:tcPr>
          <w:p>
            <w:pPr>
              <w:pStyle w:val="1198"/>
              <w:ind w:left="117"/>
              <w:spacing w:before="33" w:line="222" w:lineRule="auto"/>
              <w:rPr>
                <w:lang w:eastAsia="en-US"/>
              </w:rPr>
            </w:pPr>
            <w:r>
              <w:rPr>
                <w:spacing w:val="-4"/>
                <w:lang w:eastAsia="en-US"/>
              </w:rPr>
              <w:t xml:space="preserve">直线性</w:t>
            </w:r>
            <w:r>
              <w:rPr>
                <w:lang w:eastAsia="en-US"/>
              </w:rPr>
            </w:r>
            <w:r/>
          </w:p>
        </w:tc>
        <w:tc>
          <w:tcPr>
            <w:tcW w:w="6318" w:type="dxa"/>
            <w:vAlign w:val="top"/>
            <w:textDirection w:val="lrTb"/>
            <w:noWrap w:val="false"/>
          </w:tcPr>
          <w:p>
            <w:pPr>
              <w:pStyle w:val="1198"/>
              <w:ind w:left="137"/>
              <w:spacing w:before="33" w:line="237" w:lineRule="auto"/>
              <w:rPr>
                <w:lang w:eastAsia="en-US"/>
              </w:rPr>
            </w:pPr>
            <w:r>
              <w:rPr>
                <w:spacing w:val="-9"/>
                <w:lang w:eastAsia="en-US"/>
              </w:rPr>
              <w:t xml:space="preserve">±10%</w:t>
            </w:r>
            <w:r>
              <w:rPr>
                <w:lang w:eastAsia="en-US"/>
              </w:rPr>
            </w:r>
            <w:r/>
          </w:p>
        </w:tc>
      </w:tr>
      <w:tr>
        <w:trPr>
          <w:trHeight w:val="412"/>
        </w:trPr>
        <w:tc>
          <w:tcPr>
            <w:tcW w:w="2206" w:type="dxa"/>
            <w:vAlign w:val="top"/>
            <w:textDirection w:val="lrTb"/>
            <w:noWrap w:val="false"/>
          </w:tcPr>
          <w:p>
            <w:pPr>
              <w:pStyle w:val="1198"/>
              <w:ind w:left="116"/>
              <w:spacing w:before="32" w:line="222" w:lineRule="auto"/>
              <w:rPr>
                <w:lang w:eastAsia="en-US"/>
              </w:rPr>
            </w:pPr>
            <w:r>
              <w:rPr>
                <w:spacing w:val="-4"/>
                <w:lang w:eastAsia="en-US"/>
              </w:rPr>
              <w:t xml:space="preserve">环境温度影响试验</w:t>
            </w:r>
            <w:r>
              <w:rPr>
                <w:lang w:eastAsia="en-US"/>
              </w:rPr>
            </w:r>
            <w:r/>
          </w:p>
        </w:tc>
        <w:tc>
          <w:tcPr>
            <w:tcW w:w="6318" w:type="dxa"/>
            <w:vAlign w:val="top"/>
            <w:textDirection w:val="lrTb"/>
            <w:noWrap w:val="false"/>
          </w:tcPr>
          <w:p>
            <w:pPr>
              <w:pStyle w:val="1198"/>
              <w:ind w:left="128"/>
              <w:spacing w:before="32" w:line="238" w:lineRule="auto"/>
              <w:rPr>
                <w:lang w:eastAsia="en-US"/>
              </w:rPr>
            </w:pPr>
            <w:r>
              <w:rPr>
                <w:spacing w:val="-6"/>
                <w:lang w:eastAsia="en-US"/>
              </w:rPr>
              <w:t xml:space="preserve">≤5.0%</w:t>
            </w:r>
            <w:r>
              <w:rPr>
                <w:lang w:eastAsia="en-US"/>
              </w:rPr>
            </w:r>
            <w:r/>
          </w:p>
        </w:tc>
      </w:tr>
      <w:tr>
        <w:trPr>
          <w:trHeight w:val="823"/>
        </w:trPr>
        <w:tc>
          <w:tcPr>
            <w:tcW w:w="2206" w:type="dxa"/>
            <w:vAlign w:val="top"/>
            <w:textDirection w:val="lrTb"/>
            <w:noWrap w:val="false"/>
          </w:tcPr>
          <w:p>
            <w:pPr>
              <w:pStyle w:val="1198"/>
              <w:ind w:left="115" w:right="98" w:firstLine="5"/>
              <w:spacing w:before="32" w:line="343" w:lineRule="auto"/>
            </w:pPr>
            <w:r>
              <w:rPr>
                <w:spacing w:val="10"/>
              </w:rPr>
              <w:t xml:space="preserve">实际废水样品比对实</w:t>
            </w:r>
            <w:r>
              <w:t xml:space="preserve">验</w:t>
            </w:r>
            <w:r/>
          </w:p>
        </w:tc>
        <w:tc>
          <w:tcPr>
            <w:tcW w:w="6318" w:type="dxa"/>
            <w:vAlign w:val="top"/>
            <w:textDirection w:val="lrTb"/>
            <w:noWrap w:val="false"/>
          </w:tcPr>
          <w:p>
            <w:pPr>
              <w:pStyle w:val="1198"/>
              <w:ind w:left="113" w:right="2958"/>
              <w:spacing w:before="32" w:line="343" w:lineRule="auto"/>
            </w:pPr>
            <w:r>
              <w:rPr>
                <w:spacing w:val="-4"/>
              </w:rPr>
              <w:t xml:space="preserve">氨氮浓度＜2.00mg/L时，≤0.2mg/L氨氮浓度≥2.00mg/L时，≤10%</w:t>
            </w:r>
            <w:r/>
          </w:p>
        </w:tc>
      </w:tr>
      <w:tr>
        <w:trPr>
          <w:trHeight w:val="412"/>
        </w:trPr>
        <w:tc>
          <w:tcPr>
            <w:tcW w:w="2206" w:type="dxa"/>
            <w:vAlign w:val="top"/>
            <w:textDirection w:val="lrTb"/>
            <w:noWrap w:val="false"/>
          </w:tcPr>
          <w:p>
            <w:pPr>
              <w:pStyle w:val="1198"/>
              <w:ind w:left="116"/>
              <w:spacing w:before="33" w:line="222" w:lineRule="auto"/>
              <w:rPr>
                <w:lang w:eastAsia="en-US"/>
              </w:rPr>
            </w:pPr>
            <w:r>
              <w:rPr>
                <w:spacing w:val="-3"/>
                <w:lang w:eastAsia="en-US"/>
              </w:rPr>
              <w:t xml:space="preserve">校准</w:t>
            </w:r>
            <w:r>
              <w:rPr>
                <w:lang w:eastAsia="en-US"/>
              </w:rPr>
            </w:r>
            <w:r/>
          </w:p>
        </w:tc>
        <w:tc>
          <w:tcPr>
            <w:tcW w:w="6318" w:type="dxa"/>
            <w:vAlign w:val="top"/>
            <w:textDirection w:val="lrTb"/>
            <w:noWrap w:val="false"/>
          </w:tcPr>
          <w:p>
            <w:pPr>
              <w:pStyle w:val="1198"/>
              <w:ind w:left="113"/>
              <w:spacing w:before="33" w:line="222" w:lineRule="auto"/>
              <w:rPr>
                <w:lang w:eastAsia="en-US"/>
              </w:rPr>
            </w:pPr>
            <w:r>
              <w:rPr>
                <w:spacing w:val="-4"/>
                <w:lang w:eastAsia="en-US"/>
              </w:rPr>
              <w:t xml:space="preserve">手动校准和自动校准</w:t>
            </w:r>
            <w:r>
              <w:rPr>
                <w:lang w:eastAsia="en-US"/>
              </w:rPr>
            </w:r>
            <w:r/>
          </w:p>
        </w:tc>
      </w:tr>
      <w:tr>
        <w:trPr>
          <w:trHeight w:val="415"/>
        </w:trPr>
        <w:tc>
          <w:tcPr>
            <w:gridSpan w:val="2"/>
            <w:tcW w:w="8524" w:type="dxa"/>
            <w:vAlign w:val="top"/>
            <w:textDirection w:val="lrTb"/>
            <w:noWrap w:val="false"/>
          </w:tcPr>
          <w:p>
            <w:pPr>
              <w:pStyle w:val="1198"/>
              <w:ind w:left="116"/>
              <w:spacing w:before="34" w:line="221" w:lineRule="auto"/>
              <w:rPr>
                <w:lang w:eastAsia="en-US"/>
              </w:rPr>
            </w:pPr>
            <w:r>
              <w:rPr>
                <w:spacing w:val="-4"/>
                <w:lang w:eastAsia="en-US"/>
              </w:rPr>
              <w:t xml:space="preserve">物理参数和环境参数</w:t>
            </w:r>
            <w:r>
              <w:rPr>
                <w:lang w:eastAsia="en-US"/>
              </w:rPr>
            </w:r>
            <w:r/>
          </w:p>
        </w:tc>
      </w:tr>
      <w:tr>
        <w:trPr>
          <w:trHeight w:val="820"/>
        </w:trPr>
        <w:tc>
          <w:tcPr>
            <w:tcW w:w="2206" w:type="dxa"/>
            <w:vAlign w:val="top"/>
            <w:textDirection w:val="lrTb"/>
            <w:noWrap w:val="false"/>
          </w:tcPr>
          <w:p>
            <w:pPr>
              <w:pStyle w:val="1198"/>
              <w:ind w:left="115"/>
              <w:spacing w:before="33" w:line="221" w:lineRule="auto"/>
              <w:rPr>
                <w:lang w:eastAsia="en-US"/>
              </w:rPr>
            </w:pPr>
            <w:r>
              <w:rPr>
                <w:spacing w:val="-6"/>
                <w:lang w:eastAsia="en-US"/>
              </w:rPr>
              <w:t xml:space="preserve">尺寸（约为）</w:t>
            </w:r>
            <w:r>
              <w:rPr>
                <w:lang w:eastAsia="en-US"/>
              </w:rPr>
            </w:r>
            <w:r/>
          </w:p>
        </w:tc>
        <w:tc>
          <w:tcPr>
            <w:tcW w:w="6318" w:type="dxa"/>
            <w:vAlign w:val="top"/>
            <w:textDirection w:val="lrTb"/>
            <w:noWrap w:val="false"/>
          </w:tcPr>
          <w:p>
            <w:pPr>
              <w:pStyle w:val="1198"/>
              <w:ind w:left="114"/>
              <w:spacing w:before="34" w:line="221" w:lineRule="auto"/>
            </w:pPr>
            <w:r>
              <w:rPr>
                <w:spacing w:val="-4"/>
              </w:rPr>
              <w:t xml:space="preserve">仪表：宽350mm×高400mm×深320mm</w:t>
            </w:r>
            <w:r/>
          </w:p>
          <w:p>
            <w:pPr>
              <w:pStyle w:val="1198"/>
              <w:ind w:left="113"/>
              <w:spacing w:before="155" w:line="221" w:lineRule="auto"/>
            </w:pPr>
            <w:r>
              <w:rPr>
                <w:spacing w:val="-4"/>
              </w:rPr>
              <w:t xml:space="preserve">试剂仓：宽350mm×高380mm×深320mm</w:t>
            </w:r>
            <w:r/>
          </w:p>
        </w:tc>
      </w:tr>
      <w:tr>
        <w:trPr>
          <w:trHeight w:val="415"/>
        </w:trPr>
        <w:tc>
          <w:tcPr>
            <w:tcW w:w="2206" w:type="dxa"/>
            <w:vAlign w:val="top"/>
            <w:textDirection w:val="lrTb"/>
            <w:noWrap w:val="false"/>
          </w:tcPr>
          <w:p>
            <w:pPr>
              <w:pStyle w:val="1198"/>
              <w:ind w:left="116"/>
              <w:spacing w:before="34" w:line="222" w:lineRule="auto"/>
              <w:rPr>
                <w:lang w:eastAsia="en-US"/>
              </w:rPr>
            </w:pPr>
            <w:r>
              <w:rPr>
                <w:spacing w:val="-4"/>
                <w:lang w:eastAsia="en-US"/>
              </w:rPr>
              <w:t xml:space="preserve">环境温度</w:t>
            </w:r>
            <w:r>
              <w:rPr>
                <w:lang w:eastAsia="en-US"/>
              </w:rPr>
            </w:r>
            <w:r/>
          </w:p>
        </w:tc>
        <w:tc>
          <w:tcPr>
            <w:tcW w:w="6318" w:type="dxa"/>
            <w:vAlign w:val="top"/>
            <w:textDirection w:val="lrTb"/>
            <w:noWrap w:val="false"/>
          </w:tcPr>
          <w:p>
            <w:pPr>
              <w:pStyle w:val="1198"/>
              <w:ind w:left="114"/>
              <w:spacing w:before="34" w:line="239" w:lineRule="auto"/>
              <w:rPr>
                <w:lang w:eastAsia="en-US"/>
              </w:rPr>
            </w:pPr>
            <w:r>
              <w:rPr>
                <w:spacing w:val="12"/>
                <w:lang w:eastAsia="en-US"/>
              </w:rPr>
              <w:t xml:space="preserve">+5℃~40℃</w:t>
            </w:r>
            <w:r>
              <w:rPr>
                <w:lang w:eastAsia="en-US"/>
              </w:rPr>
            </w:r>
            <w:r/>
          </w:p>
        </w:tc>
      </w:tr>
      <w:tr>
        <w:trPr>
          <w:trHeight w:val="412"/>
        </w:trPr>
        <w:tc>
          <w:tcPr>
            <w:tcW w:w="2206" w:type="dxa"/>
            <w:vAlign w:val="top"/>
            <w:textDirection w:val="lrTb"/>
            <w:noWrap w:val="false"/>
          </w:tcPr>
          <w:p>
            <w:pPr>
              <w:pStyle w:val="1198"/>
              <w:ind w:left="116"/>
              <w:spacing w:before="34" w:line="222" w:lineRule="auto"/>
              <w:rPr>
                <w:lang w:eastAsia="en-US"/>
              </w:rPr>
            </w:pPr>
            <w:r>
              <w:rPr>
                <w:spacing w:val="-3"/>
                <w:lang w:eastAsia="en-US"/>
              </w:rPr>
              <w:t xml:space="preserve">湿度</w:t>
            </w:r>
            <w:r>
              <w:rPr>
                <w:lang w:eastAsia="en-US"/>
              </w:rPr>
            </w:r>
            <w:r/>
          </w:p>
        </w:tc>
        <w:tc>
          <w:tcPr>
            <w:tcW w:w="6318" w:type="dxa"/>
            <w:vAlign w:val="top"/>
            <w:textDirection w:val="lrTb"/>
            <w:noWrap w:val="false"/>
          </w:tcPr>
          <w:p>
            <w:pPr>
              <w:pStyle w:val="1198"/>
              <w:ind w:left="119"/>
              <w:spacing w:before="34" w:line="222" w:lineRule="auto"/>
              <w:rPr>
                <w:lang w:eastAsia="en-US"/>
              </w:rPr>
            </w:pPr>
            <w:r>
              <w:rPr>
                <w:spacing w:val="-5"/>
                <w:lang w:eastAsia="en-US"/>
              </w:rPr>
              <w:t xml:space="preserve">（65±20）%（不结露）</w:t>
            </w:r>
            <w:r>
              <w:rPr>
                <w:lang w:eastAsia="en-US"/>
              </w:rPr>
            </w:r>
            <w:r/>
          </w:p>
        </w:tc>
      </w:tr>
      <w:tr>
        <w:trPr>
          <w:trHeight w:val="420"/>
        </w:trPr>
        <w:tc>
          <w:tcPr>
            <w:gridSpan w:val="2"/>
            <w:tcW w:w="8524" w:type="dxa"/>
            <w:vAlign w:val="top"/>
            <w:textDirection w:val="lrTb"/>
            <w:noWrap w:val="false"/>
          </w:tcPr>
          <w:p>
            <w:pPr>
              <w:pStyle w:val="1198"/>
              <w:ind w:left="116"/>
              <w:spacing w:before="35" w:line="221" w:lineRule="auto"/>
              <w:rPr>
                <w:lang w:eastAsia="en-US"/>
              </w:rPr>
            </w:pPr>
            <w:r>
              <w:rPr>
                <w:spacing w:val="-4"/>
                <w:lang w:eastAsia="en-US"/>
              </w:rPr>
              <w:t xml:space="preserve">其他技术参数</w:t>
            </w:r>
            <w:r>
              <w:rPr>
                <w:lang w:eastAsia="en-US"/>
              </w:rPr>
            </w:r>
            <w:r/>
          </w:p>
        </w:tc>
      </w:tr>
    </w:tbl>
    <w:p>
      <w:pPr>
        <w:pStyle w:val="1182"/>
      </w:pPr>
      <w:r/>
      <w:r/>
    </w:p>
    <w:tbl>
      <w:tblPr>
        <w:tblW w:w="8524" w:type="dxa"/>
        <w:tblInd w:w="58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06"/>
        <w:gridCol w:w="6318"/>
      </w:tblGrid>
      <w:tr>
        <w:trPr>
          <w:trHeight w:val="415"/>
        </w:trPr>
        <w:tc>
          <w:tcPr>
            <w:tcW w:w="2206" w:type="dxa"/>
            <w:vAlign w:val="top"/>
            <w:textDirection w:val="lrTb"/>
            <w:noWrap w:val="false"/>
          </w:tcPr>
          <w:p>
            <w:pPr>
              <w:pStyle w:val="1198"/>
              <w:ind w:left="140"/>
              <w:spacing w:before="34" w:line="223" w:lineRule="auto"/>
              <w:rPr>
                <w:lang w:eastAsia="en-US"/>
              </w:rPr>
            </w:pPr>
            <w:r>
              <w:rPr>
                <w:spacing w:val="-9"/>
                <w:lang w:eastAsia="en-US"/>
              </w:rPr>
              <w:t xml:space="preserve">电源要求</w:t>
            </w:r>
            <w:r>
              <w:rPr>
                <w:lang w:eastAsia="en-US"/>
              </w:rPr>
            </w:r>
            <w:r/>
          </w:p>
        </w:tc>
        <w:tc>
          <w:tcPr>
            <w:tcW w:w="6318" w:type="dxa"/>
            <w:vAlign w:val="top"/>
            <w:textDirection w:val="lrTb"/>
            <w:noWrap w:val="false"/>
          </w:tcPr>
          <w:p>
            <w:pPr>
              <w:pStyle w:val="1198"/>
              <w:ind w:left="106"/>
              <w:spacing w:before="34" w:line="224" w:lineRule="auto"/>
              <w:rPr>
                <w:lang w:eastAsia="en-US"/>
              </w:rPr>
            </w:pPr>
            <w:r>
              <w:rPr>
                <w:spacing w:val="-2"/>
                <w:lang w:eastAsia="en-US"/>
              </w:rPr>
              <w:t xml:space="preserve">AC(220±22)V/(50±0.5)Hz</w:t>
            </w:r>
            <w:r>
              <w:rPr>
                <w:lang w:eastAsia="en-US"/>
              </w:rPr>
            </w:r>
            <w:r/>
          </w:p>
        </w:tc>
      </w:tr>
      <w:tr>
        <w:trPr>
          <w:trHeight w:val="417"/>
        </w:trPr>
        <w:tc>
          <w:tcPr>
            <w:tcW w:w="2206" w:type="dxa"/>
            <w:vAlign w:val="top"/>
            <w:textDirection w:val="lrTb"/>
            <w:noWrap w:val="false"/>
          </w:tcPr>
          <w:p>
            <w:pPr>
              <w:pStyle w:val="1198"/>
              <w:ind w:left="115"/>
              <w:spacing w:before="31" w:line="221" w:lineRule="auto"/>
              <w:rPr>
                <w:lang w:eastAsia="en-US"/>
              </w:rPr>
            </w:pPr>
            <w:r>
              <w:rPr>
                <w:spacing w:val="-4"/>
                <w:lang w:eastAsia="en-US"/>
              </w:rPr>
              <w:t xml:space="preserve">模拟输出及通讯</w:t>
            </w:r>
            <w:r>
              <w:rPr>
                <w:lang w:eastAsia="en-US"/>
              </w:rPr>
            </w:r>
            <w:r/>
          </w:p>
        </w:tc>
        <w:tc>
          <w:tcPr>
            <w:tcW w:w="6318" w:type="dxa"/>
            <w:vAlign w:val="top"/>
            <w:textDirection w:val="lrTb"/>
            <w:noWrap w:val="false"/>
          </w:tcPr>
          <w:p>
            <w:pPr>
              <w:pStyle w:val="1198"/>
              <w:ind w:left="112"/>
              <w:spacing w:before="32" w:line="226" w:lineRule="auto"/>
              <w:rPr>
                <w:lang w:eastAsia="en-US"/>
              </w:rPr>
            </w:pPr>
            <w:r>
              <w:rPr>
                <w:spacing w:val="-3"/>
                <w:lang w:eastAsia="en-US"/>
              </w:rPr>
              <w:t xml:space="preserve">4～20mA RS232/RS485</w:t>
            </w:r>
            <w:r>
              <w:rPr>
                <w:lang w:eastAsia="en-US"/>
              </w:rPr>
            </w:r>
            <w:r/>
          </w:p>
        </w:tc>
      </w:tr>
    </w:tbl>
    <w:p>
      <w:pPr>
        <w:pStyle w:val="1011"/>
        <w:ind w:left="455"/>
        <w:spacing w:before="171" w:line="219" w:lineRule="auto"/>
        <w:rPr>
          <w:rFonts w:ascii="宋体" w:hAnsi="宋体" w:cs="宋体"/>
        </w:rPr>
      </w:pPr>
      <w:r>
        <w:rPr>
          <w:rFonts w:ascii="宋体" w:hAnsi="宋体" w:cs="宋体"/>
          <w:spacing w:val="-1"/>
        </w:rPr>
        <w:t xml:space="preserve">④电磁流量计</w:t>
      </w:r>
      <w:r>
        <w:rPr>
          <w:rFonts w:ascii="宋体" w:hAnsi="宋体" w:cs="宋体"/>
        </w:rPr>
      </w:r>
      <w:r/>
    </w:p>
    <w:p>
      <w:pPr>
        <w:pStyle w:val="1011"/>
        <w:ind w:left="458"/>
        <w:spacing w:before="190" w:line="218" w:lineRule="auto"/>
        <w:rPr>
          <w:rFonts w:ascii="宋体" w:hAnsi="宋体" w:cs="宋体"/>
        </w:rPr>
      </w:pPr>
      <w:r>
        <w:rPr>
          <w:rFonts w:ascii="宋体" w:hAnsi="宋体" w:cs="宋体"/>
          <w:spacing w:val="-1"/>
        </w:rPr>
        <w:t xml:space="preserve">用途、测量范围及数量：污泥管网水管，DN50，2套；</w:t>
      </w:r>
      <w:r>
        <w:rPr>
          <w:rFonts w:ascii="宋体" w:hAnsi="宋体" w:cs="宋体"/>
          <w:spacing w:val="-2"/>
        </w:rPr>
        <w:t xml:space="preserve"> DN80,1套；</w:t>
      </w:r>
      <w:r>
        <w:rPr>
          <w:rFonts w:ascii="宋体" w:hAnsi="宋体" w:cs="宋体"/>
        </w:rPr>
      </w:r>
      <w:r/>
    </w:p>
    <w:p>
      <w:pPr>
        <w:pStyle w:val="1011"/>
        <w:ind w:left="462"/>
        <w:spacing w:before="192" w:line="223" w:lineRule="auto"/>
        <w:rPr>
          <w:rFonts w:ascii="宋体" w:hAnsi="宋体" w:cs="宋体"/>
        </w:rPr>
      </w:pPr>
      <w:r>
        <w:rPr>
          <w:rFonts w:ascii="宋体" w:hAnsi="宋体" w:cs="宋体"/>
          <w:spacing w:val="-4"/>
        </w:rPr>
        <w:t xml:space="preserve">原理：电磁式。</w:t>
      </w:r>
      <w:r>
        <w:rPr>
          <w:rFonts w:ascii="宋体" w:hAnsi="宋体" w:cs="宋体"/>
        </w:rPr>
      </w:r>
      <w:r/>
    </w:p>
    <w:p>
      <w:pPr>
        <w:pStyle w:val="1011"/>
        <w:ind w:left="457"/>
        <w:spacing w:before="185" w:line="221" w:lineRule="auto"/>
        <w:rPr>
          <w:rFonts w:ascii="宋体" w:hAnsi="宋体" w:cs="宋体"/>
        </w:rPr>
      </w:pPr>
      <w:r>
        <w:rPr>
          <w:rFonts w:ascii="宋体" w:hAnsi="宋体" w:cs="宋体"/>
          <w:spacing w:val="-1"/>
        </w:rPr>
        <w:t xml:space="preserve">测量精度：0.2%或0.5%</w:t>
      </w:r>
      <w:r>
        <w:rPr>
          <w:rFonts w:ascii="宋体" w:hAnsi="宋体" w:cs="宋体"/>
        </w:rPr>
      </w:r>
      <w:r/>
    </w:p>
    <w:p>
      <w:pPr>
        <w:pStyle w:val="1011"/>
        <w:ind w:left="457"/>
        <w:spacing w:before="188" w:line="222" w:lineRule="auto"/>
        <w:rPr>
          <w:rFonts w:ascii="宋体" w:hAnsi="宋体" w:cs="宋体"/>
        </w:rPr>
      </w:pPr>
      <w:r>
        <w:rPr>
          <w:rFonts w:ascii="宋体" w:hAnsi="宋体" w:cs="宋体"/>
        </w:rPr>
        <w:t xml:space="preserve">重复性：0.1%</w:t>
      </w:r>
      <w:r/>
    </w:p>
    <w:p>
      <w:pPr>
        <w:pStyle w:val="1011"/>
        <w:ind w:left="457"/>
        <w:spacing w:before="189" w:line="222" w:lineRule="auto"/>
        <w:rPr>
          <w:rFonts w:ascii="宋体" w:hAnsi="宋体" w:cs="宋体"/>
        </w:rPr>
      </w:pPr>
      <w:r>
        <w:rPr>
          <w:rFonts w:ascii="宋体" w:hAnsi="宋体" w:cs="宋体"/>
          <w:spacing w:val="-1"/>
        </w:rPr>
        <w:t xml:space="preserve">环境温度</w:t>
      </w:r>
      <w:r>
        <w:rPr>
          <w:rFonts w:ascii="宋体" w:hAnsi="宋体" w:cs="宋体"/>
          <w:spacing w:val="-11"/>
        </w:rPr>
        <w:t xml:space="preserve">：－</w:t>
      </w:r>
      <w:r>
        <w:rPr>
          <w:rFonts w:ascii="宋体" w:hAnsi="宋体" w:cs="宋体"/>
          <w:spacing w:val="-1"/>
        </w:rPr>
        <w:t xml:space="preserve">20～+60°C</w:t>
      </w:r>
      <w:r>
        <w:rPr>
          <w:rFonts w:ascii="宋体" w:hAnsi="宋体" w:cs="宋体"/>
        </w:rPr>
      </w:r>
      <w:r/>
    </w:p>
    <w:p>
      <w:pPr>
        <w:pStyle w:val="1011"/>
        <w:ind w:left="457"/>
        <w:spacing w:before="187" w:line="221" w:lineRule="auto"/>
        <w:rPr>
          <w:rFonts w:ascii="宋体" w:hAnsi="宋体" w:cs="宋体"/>
        </w:rPr>
      </w:pPr>
      <w:r>
        <w:rPr>
          <w:rFonts w:ascii="宋体" w:hAnsi="宋体" w:cs="宋体"/>
          <w:spacing w:val="-3"/>
        </w:rPr>
        <w:t xml:space="preserve">介质温度：0~ +80°C</w:t>
      </w:r>
      <w:r>
        <w:rPr>
          <w:rFonts w:ascii="宋体" w:hAnsi="宋体" w:cs="宋体"/>
        </w:rPr>
      </w:r>
      <w:r/>
    </w:p>
    <w:p>
      <w:pPr>
        <w:pStyle w:val="1011"/>
        <w:ind w:left="458"/>
        <w:spacing w:before="188" w:line="221" w:lineRule="auto"/>
        <w:rPr>
          <w:rFonts w:ascii="宋体" w:hAnsi="宋体" w:cs="宋体"/>
        </w:rPr>
      </w:pPr>
      <w:r>
        <w:rPr>
          <w:rFonts w:ascii="宋体" w:hAnsi="宋体" w:cs="宋体"/>
          <w:spacing w:val="-1"/>
        </w:rPr>
        <w:t xml:space="preserve">保护等级：传感器：IP68  变送器：IP67</w:t>
      </w:r>
      <w:r>
        <w:rPr>
          <w:rFonts w:ascii="宋体" w:hAnsi="宋体" w:cs="宋体"/>
        </w:rPr>
      </w:r>
      <w:r/>
    </w:p>
    <w:p>
      <w:pPr>
        <w:pStyle w:val="1011"/>
        <w:ind w:left="459"/>
        <w:spacing w:before="191" w:line="221" w:lineRule="auto"/>
        <w:rPr>
          <w:rFonts w:ascii="宋体" w:hAnsi="宋体" w:cs="宋体"/>
        </w:rPr>
      </w:pPr>
      <w:r>
        <w:rPr>
          <w:rFonts w:ascii="宋体" w:hAnsi="宋体" w:cs="宋体"/>
        </w:rPr>
        <w:t xml:space="preserve">指示器： LCD数字指示，具有现场操作功</w:t>
      </w:r>
      <w:r>
        <w:rPr>
          <w:rFonts w:ascii="宋体" w:hAnsi="宋体" w:cs="宋体"/>
          <w:spacing w:val="-1"/>
        </w:rPr>
        <w:t xml:space="preserve">能。可显示瞬时和累计流量、故障。</w:t>
      </w:r>
      <w:r>
        <w:rPr>
          <w:rFonts w:ascii="宋体" w:hAnsi="宋体" w:cs="宋体"/>
        </w:rPr>
      </w:r>
      <w:r/>
    </w:p>
    <w:p>
      <w:pPr>
        <w:pStyle w:val="1011"/>
        <w:ind w:left="458"/>
        <w:spacing w:before="187" w:line="221" w:lineRule="auto"/>
        <w:rPr>
          <w:rFonts w:ascii="宋体" w:hAnsi="宋体" w:cs="宋体"/>
        </w:rPr>
      </w:pPr>
      <w:r>
        <w:rPr>
          <w:rFonts w:ascii="宋体" w:hAnsi="宋体" w:cs="宋体"/>
          <w:spacing w:val="-2"/>
        </w:rPr>
        <w:t xml:space="preserve">测量传感器</w:t>
      </w:r>
      <w:r>
        <w:rPr>
          <w:rFonts w:ascii="宋体" w:hAnsi="宋体" w:cs="宋体"/>
        </w:rPr>
      </w:r>
      <w:r/>
    </w:p>
    <w:p>
      <w:pPr>
        <w:pStyle w:val="1011"/>
        <w:ind w:left="457"/>
        <w:spacing w:before="188" w:line="221" w:lineRule="auto"/>
        <w:rPr>
          <w:rFonts w:ascii="宋体" w:hAnsi="宋体" w:cs="宋体"/>
        </w:rPr>
      </w:pPr>
      <w:r>
        <w:rPr>
          <w:rFonts w:ascii="宋体" w:hAnsi="宋体" w:cs="宋体"/>
          <w:spacing w:val="-1"/>
        </w:rPr>
        <w:t xml:space="preserve">衬里材料：硬橡胶或PTFE</w:t>
      </w:r>
      <w:r>
        <w:rPr>
          <w:rFonts w:ascii="宋体" w:hAnsi="宋体" w:cs="宋体"/>
        </w:rPr>
      </w:r>
      <w:r/>
    </w:p>
    <w:p>
      <w:pPr>
        <w:pStyle w:val="1011"/>
        <w:ind w:left="456"/>
        <w:spacing w:before="191" w:line="221" w:lineRule="auto"/>
        <w:rPr>
          <w:rFonts w:ascii="宋体" w:hAnsi="宋体" w:cs="宋体"/>
        </w:rPr>
      </w:pPr>
      <w:r>
        <w:rPr>
          <w:rFonts w:ascii="宋体" w:hAnsi="宋体" w:cs="宋体"/>
          <w:spacing w:val="-2"/>
        </w:rPr>
        <w:t xml:space="preserve">4电极测量系统：测量电极、参比电极、空管检测电极</w:t>
      </w:r>
      <w:r>
        <w:rPr>
          <w:rFonts w:ascii="宋体" w:hAnsi="宋体" w:cs="宋体"/>
        </w:rPr>
      </w:r>
      <w:r/>
    </w:p>
    <w:p>
      <w:pPr>
        <w:pStyle w:val="1011"/>
        <w:ind w:left="481"/>
        <w:spacing w:before="187" w:line="221" w:lineRule="auto"/>
        <w:rPr>
          <w:rFonts w:ascii="宋体" w:hAnsi="宋体" w:cs="宋体"/>
        </w:rPr>
      </w:pPr>
      <w:r>
        <w:rPr>
          <w:rFonts w:ascii="宋体" w:hAnsi="宋体" w:cs="宋体"/>
          <w:spacing w:val="-4"/>
        </w:rPr>
        <w:t xml:space="preserve">电极材料：不锈钢</w:t>
      </w:r>
      <w:r>
        <w:rPr>
          <w:rFonts w:ascii="宋体" w:hAnsi="宋体" w:cs="宋体"/>
        </w:rPr>
      </w:r>
      <w:r/>
    </w:p>
    <w:p>
      <w:pPr>
        <w:pStyle w:val="1011"/>
        <w:ind w:left="481"/>
        <w:spacing w:before="188" w:line="221" w:lineRule="auto"/>
        <w:rPr>
          <w:rFonts w:ascii="宋体" w:hAnsi="宋体" w:cs="宋体"/>
        </w:rPr>
      </w:pPr>
      <w:r>
        <w:rPr>
          <w:rFonts w:ascii="宋体" w:hAnsi="宋体" w:cs="宋体"/>
          <w:spacing w:val="-2"/>
        </w:rPr>
        <w:t xml:space="preserve">电极形状：子弹头形状，可减少被测介质的干扰，保持数据长期稳定。</w:t>
      </w:r>
      <w:r>
        <w:rPr>
          <w:rFonts w:ascii="宋体" w:hAnsi="宋体" w:cs="宋体"/>
        </w:rPr>
      </w:r>
      <w:r/>
    </w:p>
    <w:p>
      <w:pPr>
        <w:pStyle w:val="1011"/>
        <w:ind w:left="461"/>
        <w:spacing w:before="191" w:line="221" w:lineRule="auto"/>
        <w:rPr>
          <w:rFonts w:ascii="宋体" w:hAnsi="宋体" w:cs="宋体"/>
        </w:rPr>
      </w:pPr>
      <w:r>
        <w:rPr>
          <w:rFonts w:ascii="宋体" w:hAnsi="宋体" w:cs="宋体"/>
          <w:spacing w:val="-1"/>
        </w:rPr>
        <w:t xml:space="preserve">安装形式：分体式，松套法兰连接，便于安装施工；</w:t>
      </w:r>
      <w:r>
        <w:rPr>
          <w:rFonts w:ascii="宋体" w:hAnsi="宋体" w:cs="宋体"/>
        </w:rPr>
      </w:r>
      <w:r/>
    </w:p>
    <w:p>
      <w:pPr>
        <w:pStyle w:val="1011"/>
        <w:ind w:left="481"/>
        <w:spacing w:before="188" w:line="218" w:lineRule="auto"/>
        <w:rPr>
          <w:rFonts w:ascii="宋体" w:hAnsi="宋体" w:cs="宋体"/>
        </w:rPr>
      </w:pPr>
      <w:r>
        <w:rPr>
          <w:rFonts w:ascii="宋体" w:hAnsi="宋体" w:cs="宋体"/>
          <w:spacing w:val="-5"/>
        </w:rPr>
        <w:t xml:space="preserve">电源：100、240VAC或24VAC/DC,宽电压供电型,适应现场各种条件；</w:t>
      </w:r>
      <w:r>
        <w:rPr>
          <w:rFonts w:ascii="宋体" w:hAnsi="宋体" w:cs="宋体"/>
        </w:rPr>
      </w:r>
      <w:r/>
    </w:p>
    <w:p>
      <w:pPr>
        <w:pStyle w:val="1011"/>
        <w:ind w:left="456"/>
        <w:spacing w:before="191" w:line="221" w:lineRule="auto"/>
        <w:rPr>
          <w:rFonts w:ascii="宋体" w:hAnsi="宋体" w:cs="宋体"/>
        </w:rPr>
      </w:pPr>
      <w:r>
        <w:rPr>
          <w:rFonts w:ascii="宋体" w:hAnsi="宋体" w:cs="宋体"/>
          <w:spacing w:val="-1"/>
        </w:rPr>
        <w:t xml:space="preserve">输出：4～20mADC、脉冲信号、故障信号；</w:t>
      </w:r>
      <w:r>
        <w:rPr>
          <w:rFonts w:ascii="宋体" w:hAnsi="宋体" w:cs="宋体"/>
        </w:rPr>
      </w:r>
      <w:r/>
    </w:p>
    <w:p>
      <w:pPr>
        <w:pStyle w:val="1011"/>
        <w:ind w:left="462"/>
        <w:spacing w:before="189" w:line="221" w:lineRule="auto"/>
        <w:rPr>
          <w:rFonts w:ascii="宋体" w:hAnsi="宋体" w:cs="宋体"/>
        </w:rPr>
      </w:pPr>
      <w:r>
        <w:rPr>
          <w:rFonts w:ascii="宋体" w:hAnsi="宋体" w:cs="宋体"/>
        </w:rPr>
        <w:t xml:space="preserve">智能技术：附带“beatheart”技术，自</w:t>
      </w:r>
      <w:r>
        <w:rPr>
          <w:rFonts w:ascii="宋体" w:hAnsi="宋体" w:cs="宋体"/>
          <w:spacing w:val="-1"/>
        </w:rPr>
        <w:t xml:space="preserve">校验，自诊断，自监测。</w:t>
      </w:r>
      <w:r>
        <w:rPr>
          <w:rFonts w:ascii="宋体" w:hAnsi="宋体" w:cs="宋体"/>
        </w:rPr>
      </w:r>
      <w:r/>
    </w:p>
    <w:p>
      <w:pPr>
        <w:pStyle w:val="1011"/>
        <w:ind w:left="463"/>
        <w:spacing w:before="188" w:line="221" w:lineRule="auto"/>
        <w:rPr>
          <w:rFonts w:ascii="宋体" w:hAnsi="宋体" w:cs="宋体"/>
        </w:rPr>
      </w:pPr>
      <w:r>
        <w:rPr>
          <w:rFonts w:hint="eastAsia" w:ascii="宋体" w:hAnsi="宋体" w:cs="宋体"/>
          <w:b/>
          <w:bCs/>
          <w:spacing w:val="-3"/>
        </w:rPr>
        <w:t xml:space="preserve">4</w:t>
      </w:r>
      <w:r>
        <w:rPr>
          <w:rFonts w:ascii="宋体" w:hAnsi="宋体" w:cs="宋体"/>
          <w:b/>
          <w:bCs/>
          <w:spacing w:val="-3"/>
        </w:rPr>
        <w:t xml:space="preserve">、设施设备安装使用等要求</w:t>
      </w:r>
      <w:r>
        <w:rPr>
          <w:rFonts w:ascii="宋体" w:hAnsi="宋体" w:cs="宋体"/>
        </w:rPr>
      </w:r>
      <w:r/>
    </w:p>
    <w:p>
      <w:pPr>
        <w:pStyle w:val="1011"/>
        <w:ind w:left="36" w:right="23" w:firstLine="438"/>
        <w:spacing w:before="188" w:line="387" w:lineRule="auto"/>
        <w:rPr>
          <w:rFonts w:ascii="宋体" w:hAnsi="宋体" w:cs="宋体"/>
        </w:rPr>
      </w:pPr>
      <w:r>
        <w:rPr>
          <w:rFonts w:ascii="宋体" w:hAnsi="宋体" w:cs="宋体"/>
          <w:spacing w:val="-1"/>
        </w:rPr>
        <w:t xml:space="preserve">乙方负责所有为完成本项目服务工作所需要的系统建设及设施设备安装调试、运营维护、维修以及周</w:t>
      </w:r>
      <w:r>
        <w:rPr>
          <w:rFonts w:ascii="宋体" w:hAnsi="宋体" w:cs="宋体"/>
          <w:spacing w:val="-2"/>
        </w:rPr>
        <w:t xml:space="preserve">边关系的协调等，甲方给予协助，具体说明如下：</w:t>
      </w:r>
      <w:r>
        <w:rPr>
          <w:rFonts w:ascii="宋体" w:hAnsi="宋体" w:cs="宋体"/>
        </w:rPr>
      </w:r>
      <w:r/>
    </w:p>
    <w:p>
      <w:pPr>
        <w:pStyle w:val="1011"/>
        <w:ind w:left="39" w:right="34" w:firstLine="423"/>
        <w:spacing w:line="303" w:lineRule="auto"/>
        <w:rPr>
          <w:rFonts w:ascii="宋体" w:hAnsi="宋体" w:cs="宋体"/>
        </w:rPr>
      </w:pPr>
      <w:r>
        <w:rPr>
          <w:rFonts w:ascii="宋体" w:hAnsi="宋体" w:cs="宋体"/>
          <w:spacing w:val="1"/>
        </w:rPr>
        <w:t xml:space="preserve">（1）服务期限内，渗滤液调节池取水口开始至清水排放口中间所有的渗滤液处理设施及污水处理设</w:t>
      </w:r>
      <w:r>
        <w:rPr>
          <w:rFonts w:ascii="宋体" w:hAnsi="宋体" w:cs="宋体"/>
        </w:rPr>
        <w:t xml:space="preserve">备由乙方负责提供，含在投标报价之内。（场区已有设施设备能否利</w:t>
      </w:r>
      <w:r>
        <w:rPr>
          <w:rFonts w:ascii="宋体" w:hAnsi="宋体" w:cs="宋体"/>
          <w:spacing w:val="-1"/>
        </w:rPr>
        <w:t xml:space="preserve">旧，需乙方自行勘察现场）</w:t>
      </w:r>
      <w:r>
        <w:rPr>
          <w:rFonts w:ascii="宋体" w:hAnsi="宋体" w:cs="宋体"/>
        </w:rPr>
      </w:r>
      <w:r/>
    </w:p>
    <w:p>
      <w:pPr>
        <w:pStyle w:val="1011"/>
        <w:ind w:left="54" w:right="70" w:firstLine="409"/>
        <w:spacing w:before="191" w:line="304" w:lineRule="auto"/>
        <w:rPr>
          <w:rFonts w:ascii="宋体" w:hAnsi="宋体" w:cs="宋体"/>
        </w:rPr>
      </w:pPr>
      <w:r>
        <w:rPr>
          <w:rFonts w:ascii="宋体" w:hAnsi="宋体" w:cs="宋体"/>
          <w:spacing w:val="1"/>
        </w:rPr>
        <w:t xml:space="preserve">（2）本项目土地使用权已由甲方合法取得，施工期间的水</w:t>
      </w:r>
      <w:r>
        <w:rPr>
          <w:rFonts w:ascii="宋体" w:hAnsi="宋体" w:cs="宋体"/>
        </w:rPr>
        <w:t xml:space="preserve">电由甲方协调解决。未经甲方书面同意， </w:t>
      </w:r>
      <w:r>
        <w:rPr>
          <w:rFonts w:ascii="宋体" w:hAnsi="宋体" w:cs="宋体"/>
          <w:spacing w:val="-1"/>
        </w:rPr>
        <w:t xml:space="preserve">乙方不得变更土地用途，不得处分土地使用权，不得引入其他项目。</w:t>
      </w:r>
      <w:r>
        <w:rPr>
          <w:rFonts w:ascii="宋体" w:hAnsi="宋体" w:cs="宋体"/>
        </w:rPr>
      </w:r>
      <w:r/>
    </w:p>
    <w:p>
      <w:pPr>
        <w:pStyle w:val="1011"/>
        <w:ind w:left="37" w:right="36" w:firstLine="428"/>
        <w:spacing w:before="188" w:line="305" w:lineRule="auto"/>
        <w:rPr>
          <w:rFonts w:ascii="宋体" w:hAnsi="宋体" w:cs="宋体"/>
        </w:rPr>
      </w:pPr>
      <w:r>
        <w:rPr>
          <w:rFonts w:ascii="宋体" w:hAnsi="宋体" w:cs="宋体"/>
          <w:b/>
          <w:bCs/>
          <w:spacing w:val="-1"/>
        </w:rPr>
        <w:t xml:space="preserve">（3）乙方必须满足采购文件相关要求，提供详细的设备供货时间、安装调试周期及提供相应的服务</w:t>
      </w:r>
      <w:r>
        <w:rPr>
          <w:rFonts w:ascii="宋体" w:hAnsi="宋体" w:cs="宋体"/>
          <w:b/>
          <w:bCs/>
          <w:spacing w:val="-10"/>
        </w:rPr>
        <w:t xml:space="preserve">计划。</w:t>
      </w:r>
      <w:r>
        <w:rPr>
          <w:rFonts w:ascii="宋体" w:hAnsi="宋体" w:cs="宋体"/>
        </w:rPr>
      </w:r>
      <w:r/>
    </w:p>
    <w:p>
      <w:pPr>
        <w:pStyle w:val="1011"/>
        <w:ind w:left="37" w:right="32" w:firstLine="425"/>
        <w:spacing w:before="187" w:line="303" w:lineRule="auto"/>
        <w:rPr>
          <w:rFonts w:ascii="宋体" w:hAnsi="宋体" w:cs="宋体"/>
        </w:rPr>
      </w:pPr>
      <w:r>
        <w:rPr>
          <w:rFonts w:ascii="宋体" w:hAnsi="宋体" w:cs="宋体"/>
          <w:spacing w:val="2"/>
        </w:rPr>
        <w:t xml:space="preserve">（4）乙方须随甲方生产安排情况及时保证垃</w:t>
      </w:r>
      <w:r>
        <w:rPr>
          <w:rFonts w:ascii="宋体" w:hAnsi="宋体" w:cs="宋体"/>
          <w:spacing w:val="1"/>
        </w:rPr>
        <w:t xml:space="preserve">圾渗滤液处理及排放，并确保出水水质达到本项目排放</w:t>
      </w:r>
      <w:r>
        <w:rPr>
          <w:rFonts w:ascii="宋体" w:hAnsi="宋体" w:cs="宋体"/>
          <w:spacing w:val="-3"/>
        </w:rPr>
        <w:t xml:space="preserve">标准，</w:t>
      </w:r>
      <w:r>
        <w:rPr>
          <w:rFonts w:ascii="宋体" w:hAnsi="宋体" w:cs="宋体"/>
          <w:b/>
          <w:bCs/>
          <w:spacing w:val="-3"/>
        </w:rPr>
        <w:t xml:space="preserve">本项目要求设计工艺无浓缩液产生。</w:t>
      </w:r>
      <w:r>
        <w:rPr>
          <w:rFonts w:ascii="宋体" w:hAnsi="宋体" w:cs="宋体"/>
        </w:rPr>
      </w:r>
      <w:r/>
    </w:p>
    <w:p>
      <w:pPr>
        <w:pStyle w:val="1011"/>
        <w:ind w:left="36" w:right="24" w:firstLine="427"/>
        <w:spacing w:before="189" w:line="331" w:lineRule="auto"/>
        <w:rPr>
          <w:rFonts w:ascii="宋体" w:hAnsi="宋体" w:cs="宋体"/>
          <w:spacing w:val="-1"/>
        </w:rPr>
      </w:pPr>
      <w:r>
        <w:rPr>
          <w:rFonts w:ascii="宋体" w:hAnsi="宋体" w:cs="宋体"/>
          <w:spacing w:val="2"/>
        </w:rPr>
        <w:t xml:space="preserve">（5）乙方渗滤液处理过程中不得产生次生环境污染，不得损坏</w:t>
      </w:r>
      <w:r>
        <w:rPr>
          <w:rFonts w:ascii="宋体" w:hAnsi="宋体" w:cs="宋体"/>
          <w:spacing w:val="1"/>
        </w:rPr>
        <w:t xml:space="preserve">填埋场已有的设备和设施，处理现场</w:t>
      </w:r>
      <w:r>
        <w:rPr>
          <w:rFonts w:ascii="宋体" w:hAnsi="宋体" w:cs="宋体"/>
        </w:rPr>
        <w:t xml:space="preserve">必须整洁美观有序。现有场地的情况由乙方应</w:t>
      </w:r>
      <w:r>
        <w:rPr>
          <w:rFonts w:ascii="宋体" w:hAnsi="宋体" w:cs="宋体"/>
          <w:spacing w:val="-1"/>
        </w:rPr>
        <w:t xml:space="preserve">自行勘察现场，如需清场或调整位置，则由乙方与甲方协商解决，涉及相关费用的，含在投标报价之内。</w:t>
      </w:r>
      <w:r/>
    </w:p>
    <w:p>
      <w:pPr>
        <w:pStyle w:val="1011"/>
        <w:ind w:left="36" w:right="24" w:firstLine="427"/>
        <w:spacing w:before="189" w:line="331" w:lineRule="auto"/>
        <w:rPr>
          <w:rFonts w:ascii="宋体" w:hAnsi="宋体" w:cs="宋体"/>
        </w:rPr>
      </w:pPr>
      <w:r>
        <w:rPr>
          <w:rFonts w:ascii="宋体" w:hAnsi="宋体" w:cs="宋体"/>
          <w:spacing w:val="2"/>
        </w:rPr>
        <w:t xml:space="preserve">（6）项目服务期间，如出现环保问题，如危废、固废等处置物</w:t>
      </w:r>
      <w:r>
        <w:rPr>
          <w:rFonts w:ascii="宋体" w:hAnsi="宋体" w:cs="宋体"/>
          <w:spacing w:val="1"/>
        </w:rPr>
        <w:t xml:space="preserve">，由乙方自行处理，处理标准须满足</w:t>
      </w:r>
      <w:r>
        <w:rPr>
          <w:rFonts w:ascii="宋体" w:hAnsi="宋体" w:cs="宋体"/>
          <w:spacing w:val="-1"/>
        </w:rPr>
        <w:t xml:space="preserve">甲方及相关政策法规要求，费用含在投标报价之内。渗滤液处置产生的废弃物（如脱水污泥等）由乙方负</w:t>
      </w:r>
      <w:r>
        <w:rPr>
          <w:rFonts w:ascii="宋体" w:hAnsi="宋体" w:cs="宋体"/>
        </w:rPr>
        <w:t xml:space="preserve">责合法合规处置（要求每周至少处理一次，如有积存影响</w:t>
      </w:r>
      <w:r>
        <w:rPr>
          <w:rFonts w:ascii="宋体" w:hAnsi="宋体" w:cs="宋体"/>
          <w:spacing w:val="-1"/>
        </w:rPr>
        <w:t xml:space="preserve">项目现场环境的，应按甲方规定及时处置</w:t>
      </w:r>
      <w:r>
        <w:rPr>
          <w:rFonts w:ascii="宋体" w:hAnsi="宋体" w:cs="宋体"/>
          <w:spacing w:val="-6"/>
        </w:rPr>
        <w:t xml:space="preserve">），</w:t>
      </w:r>
      <w:r>
        <w:rPr>
          <w:rFonts w:ascii="宋体" w:hAnsi="宋体" w:cs="宋体"/>
          <w:spacing w:val="-1"/>
        </w:rPr>
        <w:t xml:space="preserve">废</w:t>
      </w:r>
      <w:r>
        <w:rPr>
          <w:rFonts w:ascii="宋体" w:hAnsi="宋体" w:cs="宋体"/>
        </w:rPr>
        <w:t xml:space="preserve">弃物的临时存放点应合法合规，由乙方自行解决，费用包含在</w:t>
      </w:r>
      <w:r>
        <w:rPr>
          <w:rFonts w:ascii="宋体" w:hAnsi="宋体" w:cs="宋体"/>
          <w:spacing w:val="-1"/>
        </w:rPr>
        <w:t xml:space="preserve">投标报价之内。</w:t>
      </w:r>
      <w:r>
        <w:rPr>
          <w:rFonts w:ascii="宋体" w:hAnsi="宋体" w:cs="宋体"/>
        </w:rPr>
      </w:r>
      <w:r/>
    </w:p>
    <w:p>
      <w:pPr>
        <w:pStyle w:val="1011"/>
        <w:ind w:left="36" w:right="60" w:firstLine="426"/>
        <w:spacing w:before="188" w:line="332" w:lineRule="auto"/>
        <w:rPr>
          <w:rFonts w:ascii="宋体" w:hAnsi="宋体" w:cs="宋体"/>
        </w:rPr>
      </w:pPr>
      <w:r>
        <w:rPr>
          <w:rFonts w:ascii="宋体" w:hAnsi="宋体" w:cs="宋体"/>
          <w:spacing w:val="2"/>
        </w:rPr>
        <w:t xml:space="preserve">（7）乙方在提供服务期间，必须严格按照渗滤液处理设</w:t>
      </w:r>
      <w:r>
        <w:rPr>
          <w:rFonts w:ascii="宋体" w:hAnsi="宋体" w:cs="宋体"/>
          <w:spacing w:val="1"/>
        </w:rPr>
        <w:t xml:space="preserve">备安全操作规程进行操作，确保出水达到设</w:t>
      </w:r>
      <w:r>
        <w:rPr>
          <w:rFonts w:ascii="宋体" w:hAnsi="宋体" w:cs="宋体"/>
          <w:spacing w:val="-1"/>
        </w:rPr>
        <w:t xml:space="preserve">计标准；并保证现场人员的人身安全，确保合同履约期间无安全事故发生。如因措施不当、管理疏漏等各种原因，造成任何人的人身或财产损害的，由乙方承担所有责任和损失。</w:t>
      </w:r>
      <w:r>
        <w:rPr>
          <w:rFonts w:ascii="宋体" w:hAnsi="宋体" w:cs="宋体"/>
        </w:rPr>
      </w:r>
      <w:r/>
    </w:p>
    <w:p>
      <w:pPr>
        <w:pStyle w:val="1011"/>
        <w:ind w:left="38" w:right="57" w:firstLine="424"/>
        <w:spacing w:before="188" w:line="345" w:lineRule="auto"/>
        <w:rPr>
          <w:rFonts w:ascii="宋体" w:hAnsi="宋体" w:cs="宋体"/>
        </w:rPr>
      </w:pPr>
      <w:r>
        <w:rPr>
          <w:rFonts w:ascii="宋体" w:hAnsi="宋体" w:cs="宋体"/>
          <w:spacing w:val="2"/>
        </w:rPr>
        <w:t xml:space="preserve">（8）乙方必须遵守主管部门制订的相关渗滤液处</w:t>
      </w:r>
      <w:r>
        <w:rPr>
          <w:rFonts w:ascii="宋体" w:hAnsi="宋体" w:cs="宋体"/>
          <w:spacing w:val="1"/>
        </w:rPr>
        <w:t xml:space="preserve">理运营管理制度，服从甲方管理人员检查和监督，</w:t>
      </w:r>
      <w:r>
        <w:rPr>
          <w:rFonts w:ascii="宋体" w:hAnsi="宋体" w:cs="宋体"/>
          <w:spacing w:val="-1"/>
        </w:rPr>
        <w:t xml:space="preserve">详实记录渗滤液处理的运行日志、水位等监测记</w:t>
      </w:r>
      <w:r>
        <w:rPr>
          <w:rFonts w:ascii="宋体" w:hAnsi="宋体" w:cs="宋体"/>
          <w:spacing w:val="-2"/>
        </w:rPr>
        <w:t xml:space="preserve">录、维修记录、排放记录等，并于每月 15日前将上月运</w:t>
      </w:r>
      <w:r>
        <w:rPr>
          <w:rFonts w:ascii="宋体" w:hAnsi="宋体" w:cs="宋体"/>
          <w:spacing w:val="-1"/>
        </w:rPr>
        <w:t xml:space="preserve">行记录、每月 28日前将下月运营计划报送甲</w:t>
      </w:r>
      <w:r>
        <w:rPr>
          <w:rFonts w:ascii="宋体" w:hAnsi="宋体" w:cs="宋体"/>
          <w:spacing w:val="-2"/>
        </w:rPr>
        <w:t xml:space="preserve">方，待合同期满后将全部资料纪录整理造册移交甲方。在服</w:t>
      </w:r>
      <w:r>
        <w:rPr>
          <w:rFonts w:ascii="宋体" w:hAnsi="宋体" w:cs="宋体"/>
          <w:spacing w:val="-1"/>
        </w:rPr>
        <w:t xml:space="preserve">务期内，乙方有义务配合甲方做好上级部门的监督检查工作，并提供相关材料。</w:t>
      </w:r>
      <w:r>
        <w:rPr>
          <w:rFonts w:ascii="宋体" w:hAnsi="宋体" w:cs="宋体"/>
        </w:rPr>
      </w:r>
      <w:r/>
    </w:p>
    <w:p>
      <w:pPr>
        <w:pStyle w:val="1011"/>
        <w:ind w:left="36" w:right="59" w:firstLine="426"/>
        <w:spacing w:before="188" w:line="346" w:lineRule="auto"/>
        <w:rPr>
          <w:rFonts w:ascii="宋体" w:hAnsi="宋体" w:cs="宋体"/>
        </w:rPr>
      </w:pPr>
      <w:r>
        <w:rPr>
          <w:rFonts w:ascii="宋体" w:hAnsi="宋体" w:cs="宋体"/>
          <w:spacing w:val="2"/>
        </w:rPr>
        <w:t xml:space="preserve">（9）针对雨季、台风暴雨等恶劣天气以及渗滤液处理量增</w:t>
      </w:r>
      <w:r>
        <w:rPr>
          <w:rFonts w:ascii="宋体" w:hAnsi="宋体" w:cs="宋体"/>
          <w:spacing w:val="1"/>
        </w:rPr>
        <w:t xml:space="preserve">加、渗滤液溢出或其他环境污染等突发事</w:t>
      </w:r>
      <w:r>
        <w:rPr>
          <w:rFonts w:ascii="宋体" w:hAnsi="宋体" w:cs="宋体"/>
          <w:spacing w:val="-1"/>
        </w:rPr>
        <w:t xml:space="preserve">件，乙方要制订相应的应急预案，并积极配合甲方有效地实施应对措施。</w:t>
      </w:r>
      <w:r>
        <w:rPr>
          <w:rFonts w:ascii="宋体" w:hAnsi="宋体" w:cs="宋体"/>
          <w:b/>
          <w:bCs/>
          <w:spacing w:val="-1"/>
        </w:rPr>
        <w:t xml:space="preserve">当</w:t>
      </w:r>
      <w:r>
        <w:rPr>
          <w:rFonts w:ascii="宋体" w:hAnsi="宋体" w:cs="宋体"/>
          <w:b/>
          <w:bCs/>
          <w:spacing w:val="-2"/>
        </w:rPr>
        <w:t xml:space="preserve">遇到渗滤液量增加时，乙方应在接到甲方通知后，无条件启动应急预案，确保在</w:t>
      </w:r>
      <w:r>
        <w:rPr>
          <w:rFonts w:ascii="Times New Roman" w:hAnsi="Times New Roman" w:eastAsia="Times New Roman" w:cs="Times New Roman"/>
          <w:b/>
          <w:bCs/>
          <w:spacing w:val="-2"/>
        </w:rPr>
        <w:t xml:space="preserve">10 </w:t>
      </w:r>
      <w:r>
        <w:rPr>
          <w:rFonts w:ascii="宋体" w:hAnsi="宋体" w:cs="宋体"/>
          <w:b/>
          <w:bCs/>
          <w:spacing w:val="-2"/>
        </w:rPr>
        <w:t xml:space="preserve">天内增加至</w:t>
      </w:r>
      <w:r>
        <w:rPr>
          <w:rFonts w:ascii="Times New Roman" w:hAnsi="Times New Roman" w:eastAsia="Times New Roman" w:cs="Times New Roman"/>
          <w:b/>
          <w:bCs/>
          <w:spacing w:val="-2"/>
        </w:rPr>
        <w:t xml:space="preserve">1</w:t>
      </w:r>
      <w:r>
        <w:rPr>
          <w:rFonts w:ascii="Times New Roman" w:hAnsi="Times New Roman" w:eastAsia="Times New Roman" w:cs="Times New Roman"/>
          <w:b/>
          <w:bCs/>
          <w:spacing w:val="-3"/>
        </w:rPr>
        <w:t xml:space="preserve">00</w:t>
      </w:r>
      <w:r>
        <w:rPr>
          <w:rFonts w:ascii="宋体" w:hAnsi="宋体" w:cs="宋体"/>
          <w:b/>
          <w:bCs/>
          <w:spacing w:val="-3"/>
        </w:rPr>
        <w:t xml:space="preserve">吨</w:t>
      </w:r>
      <w:r>
        <w:rPr>
          <w:rFonts w:ascii="Times New Roman" w:hAnsi="Times New Roman" w:eastAsia="Times New Roman" w:cs="Times New Roman"/>
          <w:b/>
          <w:bCs/>
          <w:spacing w:val="-3"/>
        </w:rPr>
        <w:t xml:space="preserve">/</w:t>
      </w:r>
      <w:r>
        <w:rPr>
          <w:rFonts w:ascii="宋体" w:hAnsi="宋体" w:cs="宋体"/>
          <w:b/>
          <w:bCs/>
          <w:spacing w:val="-3"/>
        </w:rPr>
        <w:t xml:space="preserve">天的渗滤液处理量，以满足现场</w:t>
      </w:r>
      <w:r>
        <w:rPr>
          <w:rFonts w:ascii="宋体" w:hAnsi="宋体" w:cs="宋体"/>
          <w:b/>
          <w:bCs/>
          <w:spacing w:val="-4"/>
        </w:rPr>
        <w:t xml:space="preserve">所有渗滤液的有效处理。</w:t>
      </w:r>
      <w:r>
        <w:rPr>
          <w:rFonts w:ascii="宋体" w:hAnsi="宋体" w:cs="宋体"/>
        </w:rPr>
      </w:r>
      <w:r/>
    </w:p>
    <w:p>
      <w:pPr>
        <w:pStyle w:val="1011"/>
        <w:ind w:left="458"/>
        <w:spacing w:before="187" w:line="221" w:lineRule="auto"/>
        <w:rPr>
          <w:rFonts w:ascii="宋体" w:hAnsi="宋体" w:cs="宋体"/>
        </w:rPr>
      </w:pPr>
      <w:r>
        <w:rPr>
          <w:rFonts w:hint="eastAsia" w:ascii="宋体" w:hAnsi="宋体" w:cs="宋体"/>
          <w:b/>
          <w:bCs/>
          <w:spacing w:val="-4"/>
        </w:rPr>
        <w:t xml:space="preserve">5</w:t>
      </w:r>
      <w:r>
        <w:rPr>
          <w:rFonts w:ascii="宋体" w:hAnsi="宋体" w:cs="宋体"/>
          <w:b/>
          <w:bCs/>
          <w:spacing w:val="-4"/>
        </w:rPr>
        <w:t xml:space="preserve">、技术要求</w:t>
      </w:r>
      <w:r>
        <w:rPr>
          <w:rFonts w:ascii="宋体" w:hAnsi="宋体" w:cs="宋体"/>
        </w:rPr>
      </w:r>
      <w:r/>
    </w:p>
    <w:p>
      <w:pPr>
        <w:pStyle w:val="1011"/>
        <w:ind w:left="36" w:right="59" w:firstLine="427"/>
        <w:spacing w:before="189" w:line="331" w:lineRule="auto"/>
        <w:rPr>
          <w:rFonts w:ascii="宋体" w:hAnsi="宋体" w:cs="宋体"/>
        </w:rPr>
      </w:pPr>
      <w:r>
        <w:rPr>
          <w:rFonts w:ascii="宋体" w:hAnsi="宋体" w:cs="宋体"/>
          <w:spacing w:val="2"/>
        </w:rPr>
        <w:t xml:space="preserve">（1）处理工艺必须达到要求的处理能力和处理效果，出水</w:t>
      </w:r>
      <w:r>
        <w:rPr>
          <w:rFonts w:ascii="宋体" w:hAnsi="宋体" w:cs="宋体"/>
          <w:spacing w:val="1"/>
        </w:rPr>
        <w:t xml:space="preserve">须符合设计标准、国家关于环境保护的政</w:t>
      </w:r>
      <w:r>
        <w:rPr>
          <w:rFonts w:ascii="宋体" w:hAnsi="宋体" w:cs="宋体"/>
          <w:spacing w:val="-1"/>
        </w:rPr>
        <w:t xml:space="preserve">策，符合国家有关法规、规范及标准。项目中标后，乙方的实施方案及图纸资料等甲方有权聘请专家进行</w:t>
      </w:r>
      <w:r>
        <w:rPr>
          <w:rFonts w:ascii="宋体" w:hAnsi="宋体" w:cs="宋体"/>
        </w:rPr>
        <w:t xml:space="preserve">评审论证，经专家评审后如有涉及相关调整的，费用均包含在投标报价</w:t>
      </w:r>
      <w:r>
        <w:rPr>
          <w:rFonts w:ascii="宋体" w:hAnsi="宋体" w:cs="宋体"/>
          <w:spacing w:val="-1"/>
        </w:rPr>
        <w:t xml:space="preserve">之内。</w:t>
      </w:r>
      <w:r>
        <w:rPr>
          <w:rFonts w:ascii="宋体" w:hAnsi="宋体" w:cs="宋体"/>
        </w:rPr>
      </w:r>
      <w:r/>
    </w:p>
    <w:p>
      <w:pPr>
        <w:pStyle w:val="1011"/>
        <w:ind w:left="35" w:right="57" w:firstLine="428"/>
        <w:spacing w:before="191" w:line="345" w:lineRule="auto"/>
        <w:rPr>
          <w:rFonts w:ascii="宋体" w:hAnsi="宋体" w:cs="宋体"/>
        </w:rPr>
      </w:pPr>
      <w:r>
        <w:rPr>
          <w:rFonts w:ascii="宋体" w:hAnsi="宋体" w:cs="宋体"/>
          <w:spacing w:val="2"/>
        </w:rPr>
        <w:t xml:space="preserve">（2）根据垃圾渗滤液中污染物浓度高，水质水量多变的特点，</w:t>
      </w:r>
      <w:r>
        <w:rPr>
          <w:rFonts w:ascii="宋体" w:hAnsi="宋体" w:cs="宋体"/>
          <w:spacing w:val="1"/>
        </w:rPr>
        <w:t xml:space="preserve">提出技术先进、工艺可靠及经济合理</w:t>
      </w:r>
      <w:r>
        <w:rPr>
          <w:rFonts w:ascii="宋体" w:hAnsi="宋体" w:cs="宋体"/>
        </w:rPr>
        <w:t xml:space="preserve">的工艺。选取的工艺必须有较强的适应性和操作</w:t>
      </w:r>
      <w:r>
        <w:rPr>
          <w:rFonts w:ascii="宋体" w:hAnsi="宋体" w:cs="宋体"/>
          <w:spacing w:val="-1"/>
        </w:rPr>
        <w:t xml:space="preserve">上的灵活性，具有一定的抗冲击负荷能力，并且能够容易</w:t>
      </w:r>
      <w:r>
        <w:rPr>
          <w:rFonts w:ascii="宋体" w:hAnsi="宋体" w:cs="宋体"/>
        </w:rPr>
        <w:t xml:space="preserve">进行调整，以适应水质及水量的变化。本项目宜</w:t>
      </w:r>
      <w:r>
        <w:rPr>
          <w:rFonts w:ascii="宋体" w:hAnsi="宋体" w:cs="宋体"/>
          <w:spacing w:val="-1"/>
        </w:rPr>
        <w:t xml:space="preserve">采用无易燃易爆安全隐患的工艺流程处理，具体处理工艺</w:t>
      </w:r>
      <w:r>
        <w:rPr>
          <w:rFonts w:ascii="宋体" w:hAnsi="宋体" w:cs="宋体"/>
          <w:spacing w:val="-2"/>
        </w:rPr>
        <w:t xml:space="preserve">不限，但要求无浓缩液产生。</w:t>
      </w:r>
      <w:r>
        <w:rPr>
          <w:rFonts w:ascii="宋体" w:hAnsi="宋体" w:cs="宋体"/>
        </w:rPr>
      </w:r>
      <w:r/>
    </w:p>
    <w:p>
      <w:pPr>
        <w:pStyle w:val="1011"/>
        <w:ind w:left="463"/>
        <w:spacing w:before="190" w:line="221" w:lineRule="auto"/>
        <w:rPr>
          <w:rFonts w:ascii="宋体" w:hAnsi="宋体" w:cs="宋体"/>
        </w:rPr>
      </w:pPr>
      <w:r>
        <w:rPr>
          <w:rFonts w:ascii="宋体" w:hAnsi="宋体" w:cs="宋体"/>
          <w:spacing w:val="-1"/>
        </w:rPr>
        <w:t xml:space="preserve">（3）运行管理方便，操作维护简单，在保证处理效果的前提下，优先考虑全自动处置工艺。</w:t>
      </w:r>
      <w:r>
        <w:rPr>
          <w:rFonts w:ascii="宋体" w:hAnsi="宋体" w:cs="宋体"/>
        </w:rPr>
      </w:r>
      <w:r/>
    </w:p>
    <w:p>
      <w:pPr>
        <w:pStyle w:val="1011"/>
        <w:ind w:left="463"/>
        <w:spacing w:before="188" w:line="221" w:lineRule="auto"/>
        <w:rPr>
          <w:rFonts w:ascii="宋体" w:hAnsi="宋体" w:cs="宋体"/>
        </w:rPr>
      </w:pPr>
      <w:r>
        <w:rPr>
          <w:rFonts w:ascii="宋体" w:hAnsi="宋体" w:cs="宋体"/>
          <w:spacing w:val="-1"/>
        </w:rPr>
        <w:t xml:space="preserve">（4）处理过程中不能产生二次污染，尽可能采用污泥量少、噪音低的处理设施。</w:t>
      </w:r>
      <w:r>
        <w:rPr>
          <w:rFonts w:ascii="宋体" w:hAnsi="宋体" w:cs="宋体"/>
        </w:rPr>
      </w:r>
      <w:r/>
    </w:p>
    <w:p>
      <w:pPr>
        <w:pStyle w:val="1011"/>
        <w:ind w:left="42" w:right="68" w:firstLine="421"/>
        <w:spacing w:before="188" w:line="305" w:lineRule="auto"/>
        <w:rPr>
          <w:rFonts w:ascii="宋体" w:hAnsi="宋体" w:cs="宋体"/>
        </w:rPr>
      </w:pPr>
      <w:r>
        <w:rPr>
          <w:rFonts w:ascii="宋体" w:hAnsi="宋体" w:cs="宋体"/>
          <w:spacing w:val="1"/>
        </w:rPr>
        <w:t xml:space="preserve">（5）在渗滤液处理站占地面积及电力供应有限的情况下，尽量采用占地面积少、能耗低的工艺。有</w:t>
      </w:r>
      <w:r>
        <w:rPr>
          <w:rFonts w:ascii="宋体" w:hAnsi="宋体" w:cs="宋体"/>
          <w:spacing w:val="-2"/>
        </w:rPr>
        <w:t xml:space="preserve">效、合理地使用占地面积，提高土地利用率。</w:t>
      </w:r>
      <w:r>
        <w:rPr>
          <w:rFonts w:ascii="宋体" w:hAnsi="宋体" w:cs="宋体"/>
        </w:rPr>
      </w:r>
      <w:r/>
    </w:p>
    <w:p>
      <w:pPr>
        <w:pStyle w:val="1011"/>
        <w:ind w:left="40" w:firstLine="423"/>
        <w:spacing w:before="189" w:line="345" w:lineRule="auto"/>
        <w:rPr>
          <w:rFonts w:ascii="宋体" w:hAnsi="宋体" w:cs="宋体"/>
        </w:rPr>
      </w:pPr>
      <w:r>
        <w:rPr>
          <w:rFonts w:ascii="宋体" w:hAnsi="宋体" w:cs="宋体"/>
          <w:spacing w:val="1"/>
        </w:rPr>
        <w:t xml:space="preserve">（6）在设计正常工况条件下，系统设备的负荷能力、备用率及备用生产线的选择配置应保证：设备</w:t>
      </w:r>
      <w:r>
        <w:rPr>
          <w:rFonts w:ascii="宋体" w:hAnsi="宋体" w:cs="宋体"/>
          <w:spacing w:val="-1"/>
        </w:rPr>
        <w:t xml:space="preserve">不能长时间在 100%满负荷或超负荷条件下运行。除</w:t>
      </w:r>
      <w:r>
        <w:rPr>
          <w:rFonts w:ascii="宋体" w:hAnsi="宋体" w:cs="宋体"/>
          <w:spacing w:val="-2"/>
        </w:rPr>
        <w:t xml:space="preserve">特殊要求外，应至少留有 10%的余量；除特殊要求外，</w:t>
      </w:r>
      <w:r>
        <w:rPr>
          <w:rFonts w:ascii="宋体" w:hAnsi="宋体" w:cs="宋体"/>
          <w:spacing w:val="-1"/>
        </w:rPr>
        <w:t xml:space="preserve">设备的备用率的选择应保证全套工艺系统连续稳定运行，不会因某台设备的故障造成全套系统或相对独立的某个子工艺系统（处理单元）完全停运或造成跑、冒、溢流等问题发生。</w:t>
      </w:r>
      <w:r>
        <w:rPr>
          <w:rFonts w:ascii="宋体" w:hAnsi="宋体" w:cs="宋体"/>
        </w:rPr>
      </w:r>
      <w:r/>
    </w:p>
    <w:p>
      <w:pPr>
        <w:pStyle w:val="1011"/>
        <w:ind w:left="38" w:right="67" w:firstLine="424"/>
        <w:spacing w:before="187" w:line="305" w:lineRule="auto"/>
        <w:rPr>
          <w:rFonts w:ascii="宋体" w:hAnsi="宋体" w:cs="宋体"/>
        </w:rPr>
      </w:pPr>
      <w:r>
        <w:rPr>
          <w:rFonts w:ascii="宋体" w:hAnsi="宋体" w:cs="宋体"/>
          <w:spacing w:val="1"/>
        </w:rPr>
        <w:t xml:space="preserve">（7）要求工艺设计成熟、先进、可靠，流程应合理、性价比高，符合环保、节能、除臭、降噪、卫</w:t>
      </w:r>
      <w:r>
        <w:rPr>
          <w:rFonts w:ascii="宋体" w:hAnsi="宋体" w:cs="宋体"/>
          <w:spacing w:val="-1"/>
        </w:rPr>
        <w:t xml:space="preserve">生、美观要求；操作全自动，满足水量水质变化的要求。</w:t>
      </w:r>
      <w:r>
        <w:rPr>
          <w:rFonts w:ascii="宋体" w:hAnsi="宋体" w:cs="宋体"/>
        </w:rPr>
      </w:r>
      <w:r/>
    </w:p>
    <w:p>
      <w:pPr>
        <w:pStyle w:val="1011"/>
        <w:ind w:left="463"/>
        <w:spacing w:before="188" w:line="221" w:lineRule="auto"/>
        <w:rPr>
          <w:rFonts w:ascii="宋体" w:hAnsi="宋体" w:cs="宋体"/>
        </w:rPr>
      </w:pPr>
      <w:r>
        <w:rPr>
          <w:rFonts w:ascii="宋体" w:hAnsi="宋体" w:cs="宋体"/>
          <w:spacing w:val="-3"/>
        </w:rPr>
        <w:t xml:space="preserve">（8）出水水质应能长期稳定应满足《生活垃圾填埋场污染控制标准》（</w:t>
      </w:r>
      <w:r>
        <w:rPr>
          <w:rFonts w:hint="eastAsia" w:ascii="宋体" w:hAnsi="宋体" w:cs="宋体"/>
        </w:rPr>
        <w:t xml:space="preserve">GB16889-2024</w:t>
      </w:r>
      <w:r>
        <w:rPr>
          <w:rFonts w:ascii="宋体" w:hAnsi="宋体" w:cs="宋体"/>
          <w:spacing w:val="-3"/>
        </w:rPr>
        <w:t xml:space="preserve">）中“表</w:t>
      </w:r>
      <w:r>
        <w:rPr>
          <w:rFonts w:ascii="宋体" w:hAnsi="宋体" w:cs="宋体"/>
          <w:spacing w:val="-4"/>
        </w:rPr>
        <w:t xml:space="preserve">2  现</w:t>
      </w:r>
      <w:r>
        <w:rPr>
          <w:rFonts w:ascii="宋体" w:hAnsi="宋体" w:cs="宋体"/>
        </w:rPr>
      </w:r>
      <w:r/>
    </w:p>
    <w:p>
      <w:pPr>
        <w:pStyle w:val="1011"/>
        <w:ind w:left="34" w:right="89" w:firstLine="3"/>
        <w:jc w:val="both"/>
        <w:spacing w:before="156" w:line="387" w:lineRule="auto"/>
        <w:rPr>
          <w:rFonts w:ascii="宋体" w:hAnsi="宋体" w:cs="宋体"/>
        </w:rPr>
      </w:pPr>
      <w:r>
        <w:rPr>
          <w:rFonts w:ascii="宋体" w:hAnsi="宋体" w:cs="宋体"/>
          <w:spacing w:val="2"/>
        </w:rPr>
        <w:t xml:space="preserve">有和新建生活垃圾填埋场水污染物排放质量</w:t>
      </w:r>
      <w:r>
        <w:rPr>
          <w:rFonts w:ascii="宋体" w:hAnsi="宋体" w:cs="宋体"/>
          <w:spacing w:val="1"/>
        </w:rPr>
        <w:t xml:space="preserve">浓度限值”的要求，其中溶解性总固体（</w:t>
      </w:r>
      <w:r>
        <w:rPr>
          <w:rFonts w:ascii="宋体" w:hAnsi="宋体" w:cs="宋体"/>
        </w:rPr>
        <w:t xml:space="preserve">TDS</w:t>
      </w:r>
      <w:r>
        <w:rPr>
          <w:rFonts w:ascii="宋体" w:hAnsi="宋体" w:cs="宋体"/>
          <w:spacing w:val="1"/>
        </w:rPr>
        <w:t xml:space="preserve">）应满足《污水</w:t>
      </w:r>
      <w:r>
        <w:rPr>
          <w:rFonts w:ascii="宋体" w:hAnsi="宋体" w:cs="宋体"/>
          <w:spacing w:val="-5"/>
        </w:rPr>
        <w:t xml:space="preserve">排入城镇下水道水质标准》(GB/T31962-2015)中“表1  污水排入城镇下水道水质等级标准（最高允</w:t>
      </w:r>
      <w:r>
        <w:rPr>
          <w:rFonts w:ascii="宋体" w:hAnsi="宋体" w:cs="宋体"/>
          <w:spacing w:val="-6"/>
        </w:rPr>
        <w:t xml:space="preserve">许值，</w:t>
      </w:r>
      <w:r>
        <w:rPr>
          <w:rFonts w:ascii="宋体" w:hAnsi="宋体" w:cs="宋体"/>
          <w:spacing w:val="-1"/>
        </w:rPr>
        <w:t xml:space="preserve">pH值除外）”中C等级标准的要求。</w:t>
      </w:r>
      <w:r>
        <w:rPr>
          <w:rFonts w:ascii="宋体" w:hAnsi="宋体" w:cs="宋体"/>
        </w:rPr>
      </w:r>
      <w:r/>
    </w:p>
    <w:p>
      <w:pPr>
        <w:pStyle w:val="1011"/>
        <w:ind w:left="463"/>
        <w:spacing w:line="220" w:lineRule="auto"/>
        <w:rPr>
          <w:rFonts w:ascii="宋体" w:hAnsi="宋体" w:cs="宋体"/>
        </w:rPr>
      </w:pPr>
      <w:r>
        <w:rPr>
          <w:rFonts w:ascii="宋体" w:hAnsi="宋体" w:cs="宋体"/>
          <w:spacing w:val="-2"/>
        </w:rPr>
        <w:t xml:space="preserve">（9）具有很强的有机污染物去除能力，有效降低出水COD指标。</w:t>
      </w:r>
      <w:r>
        <w:rPr>
          <w:rFonts w:ascii="宋体" w:hAnsi="宋体" w:cs="宋体"/>
        </w:rPr>
      </w:r>
      <w:r/>
    </w:p>
    <w:p>
      <w:pPr>
        <w:pStyle w:val="1011"/>
        <w:ind w:left="463"/>
        <w:spacing w:before="188" w:line="221" w:lineRule="auto"/>
        <w:rPr>
          <w:rFonts w:ascii="宋体" w:hAnsi="宋体" w:cs="宋体"/>
        </w:rPr>
      </w:pPr>
      <w:r>
        <w:rPr>
          <w:rFonts w:ascii="宋体" w:hAnsi="宋体" w:cs="宋体"/>
          <w:spacing w:val="-1"/>
        </w:rPr>
        <w:t xml:space="preserve">（10）具有高效稳定的TN去除能力，有效降低出水NH3-N、TN指标；经济合理</w:t>
      </w:r>
      <w:r>
        <w:rPr>
          <w:rFonts w:ascii="宋体" w:hAnsi="宋体" w:cs="宋体"/>
          <w:spacing w:val="-2"/>
        </w:rPr>
        <w:t xml:space="preserve">，节能降耗。</w:t>
      </w:r>
      <w:r>
        <w:rPr>
          <w:rFonts w:ascii="宋体" w:hAnsi="宋体" w:cs="宋体"/>
        </w:rPr>
      </w:r>
      <w:r/>
    </w:p>
    <w:p>
      <w:pPr>
        <w:pStyle w:val="1011"/>
        <w:ind w:left="463"/>
        <w:spacing w:before="190" w:line="221" w:lineRule="auto"/>
        <w:rPr>
          <w:rFonts w:ascii="宋体" w:hAnsi="宋体" w:cs="宋体"/>
        </w:rPr>
      </w:pPr>
      <w:r>
        <w:rPr>
          <w:rFonts w:ascii="宋体" w:hAnsi="宋体" w:cs="宋体"/>
          <w:spacing w:val="-2"/>
        </w:rPr>
        <w:t xml:space="preserve">（11）垃圾渗滤液处理系统，净水产水率不低于100%。</w:t>
      </w:r>
      <w:r>
        <w:rPr>
          <w:rFonts w:ascii="宋体" w:hAnsi="宋体" w:cs="宋体"/>
        </w:rPr>
      </w:r>
      <w:r/>
    </w:p>
    <w:p>
      <w:pPr>
        <w:pStyle w:val="1011"/>
        <w:ind w:left="463"/>
        <w:spacing w:before="187" w:line="221" w:lineRule="auto"/>
        <w:rPr>
          <w:rFonts w:ascii="宋体" w:hAnsi="宋体" w:cs="宋体"/>
        </w:rPr>
      </w:pPr>
      <w:r>
        <w:rPr>
          <w:rFonts w:ascii="宋体" w:hAnsi="宋体" w:cs="宋体"/>
        </w:rPr>
        <w:t xml:space="preserve">（12）充分考虑渗滤液的腐蚀性，应采用高防腐性</w:t>
      </w:r>
      <w:r>
        <w:rPr>
          <w:rFonts w:ascii="宋体" w:hAnsi="宋体" w:cs="宋体"/>
          <w:spacing w:val="-1"/>
        </w:rPr>
        <w:t xml:space="preserve">能的设备及管道材料。</w:t>
      </w:r>
      <w:r>
        <w:rPr>
          <w:rFonts w:ascii="宋体" w:hAnsi="宋体" w:cs="宋体"/>
        </w:rPr>
      </w:r>
      <w:r/>
    </w:p>
    <w:p>
      <w:pPr>
        <w:pStyle w:val="1011"/>
        <w:ind w:left="463"/>
        <w:spacing w:before="188" w:line="221" w:lineRule="auto"/>
        <w:rPr>
          <w:rFonts w:ascii="宋体" w:hAnsi="宋体" w:cs="宋体"/>
        </w:rPr>
      </w:pPr>
      <w:r>
        <w:rPr>
          <w:rFonts w:hint="eastAsia" w:ascii="宋体" w:hAnsi="宋体" w:cs="宋体"/>
          <w:b/>
          <w:bCs/>
          <w:spacing w:val="-4"/>
        </w:rPr>
        <w:t xml:space="preserve">6</w:t>
      </w:r>
      <w:r>
        <w:rPr>
          <w:rFonts w:ascii="宋体" w:hAnsi="宋体" w:cs="宋体"/>
          <w:b/>
          <w:bCs/>
          <w:spacing w:val="-4"/>
        </w:rPr>
        <w:t xml:space="preserve">、项目服务成果要求</w:t>
      </w:r>
      <w:r>
        <w:rPr>
          <w:rFonts w:ascii="宋体" w:hAnsi="宋体" w:cs="宋体"/>
        </w:rPr>
      </w:r>
      <w:r/>
    </w:p>
    <w:p>
      <w:pPr>
        <w:pStyle w:val="1011"/>
        <w:ind w:left="36" w:right="98" w:firstLine="426"/>
        <w:spacing w:before="189" w:line="304" w:lineRule="auto"/>
        <w:rPr>
          <w:rFonts w:ascii="宋体" w:hAnsi="宋体" w:cs="宋体"/>
        </w:rPr>
      </w:pPr>
      <w:r>
        <w:rPr>
          <w:rFonts w:ascii="宋体" w:hAnsi="宋体" w:cs="宋体"/>
          <w:spacing w:val="1"/>
        </w:rPr>
        <w:t xml:space="preserve">（1）项目设计及设备安装符合国家规定的设计标准和规范，保质保量完成项目工作内容，解决横扇</w:t>
      </w:r>
      <w:r>
        <w:rPr>
          <w:rFonts w:ascii="宋体" w:hAnsi="宋体" w:cs="宋体"/>
          <w:spacing w:val="-1"/>
        </w:rPr>
        <w:t xml:space="preserve">街道垃圾渗滤液的消纳滞留压力。</w:t>
      </w:r>
      <w:r>
        <w:rPr>
          <w:rFonts w:ascii="宋体" w:hAnsi="宋体" w:cs="宋体"/>
        </w:rPr>
      </w:r>
      <w:r/>
    </w:p>
    <w:p>
      <w:pPr>
        <w:pStyle w:val="1011"/>
        <w:ind w:left="54" w:right="99" w:firstLine="409"/>
        <w:spacing w:before="187" w:line="305" w:lineRule="auto"/>
        <w:rPr>
          <w:rFonts w:ascii="宋体" w:hAnsi="宋体" w:cs="宋体"/>
        </w:rPr>
      </w:pPr>
      <w:r>
        <w:rPr>
          <w:rFonts w:ascii="宋体" w:hAnsi="宋体" w:cs="宋体"/>
          <w:spacing w:val="1"/>
        </w:rPr>
        <w:t xml:space="preserve">（2）出水水质需经环保部门或具有第三方检测资质单位进行检测并出具水质检测报告（检测费用由</w:t>
      </w:r>
      <w:r>
        <w:rPr>
          <w:rFonts w:ascii="宋体" w:hAnsi="宋体" w:cs="宋体"/>
          <w:spacing w:val="-1"/>
        </w:rPr>
        <w:t xml:space="preserve">乙方承担</w:t>
      </w:r>
      <w:r>
        <w:rPr>
          <w:rFonts w:ascii="宋体" w:hAnsi="宋体" w:cs="宋体"/>
          <w:spacing w:val="-5"/>
        </w:rPr>
        <w:t xml:space="preserve">），</w:t>
      </w:r>
      <w:r>
        <w:rPr>
          <w:rFonts w:ascii="宋体" w:hAnsi="宋体" w:cs="宋体"/>
          <w:spacing w:val="-1"/>
        </w:rPr>
        <w:t xml:space="preserve">确保出水水质达标。</w:t>
      </w:r>
      <w:r>
        <w:rPr>
          <w:rFonts w:ascii="宋体" w:hAnsi="宋体" w:cs="宋体"/>
        </w:rPr>
      </w:r>
      <w:r/>
    </w:p>
    <w:p>
      <w:pPr>
        <w:pStyle w:val="1011"/>
        <w:ind w:left="462"/>
        <w:spacing w:before="187" w:line="221" w:lineRule="auto"/>
        <w:rPr>
          <w:rFonts w:ascii="宋体" w:hAnsi="宋体" w:cs="宋体"/>
        </w:rPr>
      </w:pPr>
      <w:r>
        <w:rPr>
          <w:rFonts w:ascii="宋体" w:hAnsi="宋体" w:cs="宋体"/>
          <w:spacing w:val="-3"/>
        </w:rPr>
        <w:t xml:space="preserve">（3）本项目运营服务期内，排放的废水、废气</w:t>
      </w:r>
      <w:r>
        <w:rPr>
          <w:rFonts w:ascii="宋体" w:hAnsi="宋体" w:cs="宋体"/>
          <w:spacing w:val="-4"/>
        </w:rPr>
        <w:t xml:space="preserve">、噪声、固废、安全措施应符合国家和地方相关标准。</w:t>
      </w:r>
      <w:r>
        <w:rPr>
          <w:rFonts w:ascii="宋体" w:hAnsi="宋体" w:cs="宋体"/>
        </w:rPr>
      </w:r>
      <w:r/>
    </w:p>
    <w:p>
      <w:pPr>
        <w:pStyle w:val="1011"/>
        <w:ind w:left="462"/>
        <w:spacing w:before="188" w:line="221" w:lineRule="auto"/>
        <w:rPr>
          <w:rFonts w:ascii="宋体" w:hAnsi="宋体" w:cs="宋体"/>
        </w:rPr>
      </w:pPr>
      <w:r>
        <w:rPr>
          <w:rFonts w:ascii="宋体" w:hAnsi="宋体" w:cs="宋体"/>
          <w:spacing w:val="-2"/>
        </w:rPr>
        <w:t xml:space="preserve">（4）乙方须提供完全满足采购需求的服务。</w:t>
      </w:r>
      <w:r>
        <w:rPr>
          <w:rFonts w:ascii="宋体" w:hAnsi="宋体" w:cs="宋体"/>
        </w:rPr>
      </w:r>
      <w:r/>
    </w:p>
    <w:p>
      <w:pPr>
        <w:pStyle w:val="1011"/>
        <w:ind w:left="461"/>
        <w:spacing w:before="191" w:line="221" w:lineRule="auto"/>
        <w:rPr>
          <w:rFonts w:ascii="宋体" w:hAnsi="宋体" w:cs="宋体"/>
        </w:rPr>
      </w:pPr>
      <w:r>
        <w:rPr>
          <w:rFonts w:hint="eastAsia" w:ascii="宋体" w:hAnsi="宋体" w:cs="宋体"/>
          <w:b/>
          <w:bCs/>
          <w:spacing w:val="-4"/>
        </w:rPr>
        <w:t xml:space="preserve">7</w:t>
      </w:r>
      <w:r>
        <w:rPr>
          <w:rFonts w:ascii="宋体" w:hAnsi="宋体" w:cs="宋体"/>
          <w:b/>
          <w:bCs/>
          <w:spacing w:val="-4"/>
        </w:rPr>
        <w:t xml:space="preserve">、项目考核相关要求</w:t>
      </w:r>
      <w:r>
        <w:rPr>
          <w:rFonts w:ascii="宋体" w:hAnsi="宋体" w:cs="宋体"/>
        </w:rPr>
      </w:r>
      <w:r/>
    </w:p>
    <w:p>
      <w:pPr>
        <w:pStyle w:val="1011"/>
        <w:ind w:left="37" w:right="73" w:firstLine="426"/>
        <w:jc w:val="both"/>
        <w:spacing w:before="185" w:line="387" w:lineRule="auto"/>
        <w:rPr>
          <w:rFonts w:ascii="宋体" w:hAnsi="宋体" w:cs="宋体"/>
        </w:rPr>
      </w:pPr>
      <w:r>
        <w:rPr>
          <w:rFonts w:ascii="宋体" w:hAnsi="宋体" w:cs="宋体"/>
          <w:spacing w:val="-4"/>
        </w:rPr>
        <w:t xml:space="preserve">（1）本项目垃圾渗滤液经处理后，应满足《生活垃圾填埋场污染控制标准》（</w:t>
      </w:r>
      <w:r>
        <w:rPr>
          <w:rFonts w:hint="eastAsia" w:ascii="宋体" w:hAnsi="宋体" w:cs="宋体"/>
          <w:color w:val="000000"/>
        </w:rPr>
        <w:t xml:space="preserve">GB 16889-2024</w:t>
      </w:r>
      <w:r>
        <w:rPr>
          <w:rFonts w:hint="eastAsia" w:ascii="宋体" w:hAnsi="宋体" w:cs="宋体"/>
          <w:color w:val="000000"/>
          <w:spacing w:val="-1"/>
        </w:rPr>
        <w:t xml:space="preserve">）</w:t>
      </w:r>
      <w:r>
        <w:rPr>
          <w:rFonts w:ascii="宋体" w:hAnsi="宋体" w:cs="宋体"/>
          <w:spacing w:val="-5"/>
        </w:rPr>
        <w:t xml:space="preserve">）中“表2  现有和新建生活垃圾填埋场水污染物排放质量浓度限值”的要求，其中溶解性总固体（TDS）应满足《污</w:t>
      </w:r>
      <w:r>
        <w:rPr>
          <w:rFonts w:ascii="宋体" w:hAnsi="宋体" w:cs="宋体"/>
          <w:spacing w:val="-1"/>
        </w:rPr>
        <w:t xml:space="preserve">水排入城镇下水道水质标准》(GB/T31962-2015)中“表1  污水排入城镇下水道水质等级标准</w:t>
      </w:r>
      <w:r>
        <w:rPr>
          <w:rFonts w:ascii="宋体" w:hAnsi="宋体" w:cs="宋体"/>
          <w:spacing w:val="-2"/>
        </w:rPr>
        <w:t xml:space="preserve">（最高允许</w:t>
      </w:r>
      <w:r>
        <w:rPr>
          <w:rFonts w:ascii="宋体" w:hAnsi="宋体" w:cs="宋体"/>
        </w:rPr>
        <w:t xml:space="preserve">值，pH值除外）”中C等级标准的要求，最终排污市政管网，产生的固体</w:t>
      </w:r>
      <w:r>
        <w:rPr>
          <w:rFonts w:ascii="宋体" w:hAnsi="宋体" w:cs="宋体"/>
          <w:spacing w:val="-1"/>
        </w:rPr>
        <w:t xml:space="preserve">废物由乙方自行外运处置。</w:t>
      </w:r>
      <w:r>
        <w:rPr>
          <w:rFonts w:ascii="宋体" w:hAnsi="宋体" w:cs="宋体"/>
        </w:rPr>
      </w:r>
      <w:r/>
    </w:p>
    <w:p>
      <w:pPr>
        <w:pStyle w:val="1011"/>
        <w:ind w:left="37" w:firstLine="426"/>
        <w:spacing w:before="2" w:line="331" w:lineRule="auto"/>
        <w:rPr>
          <w:rFonts w:ascii="宋体" w:hAnsi="宋体" w:cs="宋体"/>
        </w:rPr>
      </w:pPr>
      <w:r>
        <w:rPr>
          <w:rFonts w:ascii="宋体" w:hAnsi="宋体" w:cs="宋体"/>
          <w:spacing w:val="2"/>
        </w:rPr>
        <w:t xml:space="preserve">（2）甲方或环境保护行政主管部门将针对处理水质进行在线监</w:t>
      </w:r>
      <w:r>
        <w:rPr>
          <w:rFonts w:ascii="宋体" w:hAnsi="宋体" w:cs="宋体"/>
          <w:spacing w:val="1"/>
        </w:rPr>
        <w:t xml:space="preserve">测，对处理量和主要污染排放进行实</w:t>
      </w:r>
      <w:r>
        <w:rPr>
          <w:rFonts w:ascii="宋体" w:hAnsi="宋体" w:cs="宋体"/>
          <w:spacing w:val="-3"/>
        </w:rPr>
        <w:t xml:space="preserve">时监测。同时甲方也可采取定期检查、不定期抽查等形式对</w:t>
      </w:r>
      <w:r>
        <w:rPr>
          <w:rFonts w:ascii="宋体" w:hAnsi="宋体" w:cs="宋体"/>
          <w:spacing w:val="-4"/>
        </w:rPr>
        <w:t xml:space="preserve">服务商的渗滤液处理质量和服务质量进行监督、</w:t>
      </w:r>
      <w:r>
        <w:rPr>
          <w:rFonts w:ascii="宋体" w:hAnsi="宋体" w:cs="宋体"/>
        </w:rPr>
        <w:t xml:space="preserve">检测、考核、评估，作为考核服务合同履行情况、支付渗滤液处理费</w:t>
      </w:r>
      <w:r>
        <w:rPr>
          <w:rFonts w:ascii="宋体" w:hAnsi="宋体" w:cs="宋体"/>
          <w:spacing w:val="-1"/>
        </w:rPr>
        <w:t xml:space="preserve">的依据。</w:t>
      </w:r>
      <w:r>
        <w:rPr>
          <w:rFonts w:ascii="宋体" w:hAnsi="宋体" w:cs="宋体"/>
        </w:rPr>
      </w:r>
      <w:r/>
    </w:p>
    <w:p>
      <w:pPr>
        <w:pStyle w:val="1011"/>
        <w:ind w:left="41" w:right="81" w:firstLine="422"/>
        <w:spacing w:before="191" w:line="304" w:lineRule="auto"/>
        <w:rPr>
          <w:rFonts w:ascii="宋体" w:hAnsi="宋体" w:cs="宋体"/>
        </w:rPr>
      </w:pPr>
      <w:r>
        <w:rPr>
          <w:rFonts w:ascii="宋体" w:hAnsi="宋体" w:cs="宋体"/>
          <w:spacing w:val="2"/>
        </w:rPr>
        <w:t xml:space="preserve">（3）监管考核办法：本项目是服务运营项目，</w:t>
      </w:r>
      <w:r>
        <w:rPr>
          <w:rFonts w:ascii="宋体" w:hAnsi="宋体" w:cs="宋体"/>
          <w:spacing w:val="1"/>
        </w:rPr>
        <w:t xml:space="preserve">需建立健全监管考核办法和机制、运营现场日常管理</w:t>
      </w:r>
      <w:r>
        <w:rPr>
          <w:rFonts w:ascii="宋体" w:hAnsi="宋体" w:cs="宋体"/>
          <w:spacing w:val="-2"/>
        </w:rPr>
        <w:t xml:space="preserve">办法等。（考核明细详见附件）</w:t>
      </w:r>
      <w:r>
        <w:rPr>
          <w:rFonts w:ascii="宋体" w:hAnsi="宋体" w:cs="宋体"/>
        </w:rPr>
      </w:r>
      <w:r/>
    </w:p>
    <w:p>
      <w:pPr>
        <w:pStyle w:val="1011"/>
        <w:ind w:left="461"/>
        <w:spacing w:before="188" w:line="221" w:lineRule="auto"/>
        <w:rPr>
          <w:rFonts w:ascii="宋体" w:hAnsi="宋体" w:cs="宋体"/>
        </w:rPr>
      </w:pPr>
      <w:r>
        <w:rPr>
          <w:rFonts w:ascii="宋体" w:hAnsi="宋体" w:cs="宋体"/>
          <w:b/>
          <w:bCs/>
          <w:spacing w:val="-3"/>
        </w:rPr>
        <w:t xml:space="preserve">六、服务期限</w:t>
      </w:r>
      <w:r>
        <w:rPr>
          <w:rFonts w:ascii="宋体" w:hAnsi="宋体" w:cs="宋体"/>
        </w:rPr>
      </w:r>
      <w:r/>
    </w:p>
    <w:p>
      <w:pPr>
        <w:pStyle w:val="1011"/>
        <w:ind w:left="36" w:right="74" w:firstLine="421"/>
        <w:jc w:val="both"/>
        <w:spacing w:before="187" w:line="372" w:lineRule="auto"/>
        <w:rPr>
          <w:rFonts w:ascii="宋体" w:hAnsi="宋体" w:cs="宋体"/>
        </w:rPr>
      </w:pPr>
      <w:r>
        <w:rPr>
          <w:rFonts w:ascii="宋体" w:hAnsi="宋体" w:cs="宋体"/>
        </w:rPr>
        <w:t xml:space="preserve">合同签订之日起 </w:t>
      </w:r>
      <w:r>
        <w:rPr>
          <w:rFonts w:ascii="Times New Roman" w:hAnsi="Times New Roman" w:eastAsia="Times New Roman" w:cs="Times New Roman"/>
        </w:rPr>
        <w:t xml:space="preserve">90</w:t>
      </w:r>
      <w:r>
        <w:rPr>
          <w:rFonts w:ascii="宋体" w:hAnsi="宋体" w:cs="宋体"/>
        </w:rPr>
        <w:t xml:space="preserve">天内完成该项目全部</w:t>
      </w:r>
      <w:r>
        <w:rPr>
          <w:rFonts w:ascii="宋体" w:hAnsi="宋体" w:cs="宋体"/>
          <w:spacing w:val="-1"/>
        </w:rPr>
        <w:t xml:space="preserve">渗滤液处理服务运行所需系统设备的安装调试并确保试运行</w:t>
      </w:r>
      <w:r>
        <w:rPr>
          <w:rFonts w:ascii="宋体" w:hAnsi="宋体" w:cs="宋体"/>
        </w:rPr>
        <w:t xml:space="preserve">验收合格，要求渗滤液处理量不少于</w:t>
      </w:r>
      <w:r>
        <w:rPr>
          <w:rFonts w:ascii="Times New Roman" w:hAnsi="Times New Roman" w:eastAsia="Times New Roman" w:cs="Times New Roman"/>
        </w:rPr>
        <w:t xml:space="preserve">40</w:t>
      </w:r>
      <w:r>
        <w:rPr>
          <w:rFonts w:ascii="宋体" w:hAnsi="宋体" w:cs="宋体"/>
        </w:rPr>
        <w:t xml:space="preserve">吨</w:t>
      </w:r>
      <w:r>
        <w:rPr>
          <w:rFonts w:ascii="Times New Roman" w:hAnsi="Times New Roman" w:eastAsia="Times New Roman" w:cs="Times New Roman"/>
        </w:rPr>
        <w:t xml:space="preserve">/</w:t>
      </w:r>
      <w:r>
        <w:rPr>
          <w:rFonts w:ascii="宋体" w:hAnsi="宋体" w:cs="宋体"/>
        </w:rPr>
        <w:t xml:space="preserve">天，</w:t>
      </w:r>
      <w:r>
        <w:rPr>
          <w:rFonts w:ascii="宋体" w:hAnsi="宋体" w:cs="宋体"/>
          <w:spacing w:val="-1"/>
        </w:rPr>
        <w:t xml:space="preserve">且处理规模须满足垃圾填埋场实际渗滤液量的要求。渗滤液处置服务期限为自试运行验收合格之日起三年。</w:t>
      </w:r>
      <w:r>
        <w:rPr>
          <w:rFonts w:ascii="宋体" w:hAnsi="宋体" w:cs="宋体"/>
        </w:rPr>
      </w:r>
      <w:r/>
    </w:p>
    <w:p>
      <w:pPr>
        <w:pStyle w:val="1011"/>
        <w:ind w:left="458"/>
        <w:spacing w:line="221" w:lineRule="auto"/>
        <w:rPr>
          <w:rFonts w:ascii="宋体" w:hAnsi="宋体" w:cs="宋体"/>
        </w:rPr>
      </w:pPr>
      <w:r>
        <w:rPr>
          <w:rFonts w:ascii="宋体" w:hAnsi="宋体" w:cs="宋体"/>
          <w:b/>
          <w:bCs/>
          <w:spacing w:val="-3"/>
        </w:rPr>
        <w:t xml:space="preserve">七、服务地点</w:t>
      </w:r>
      <w:r>
        <w:rPr>
          <w:rFonts w:ascii="宋体" w:hAnsi="宋体" w:cs="宋体"/>
        </w:rPr>
      </w:r>
      <w:r/>
    </w:p>
    <w:p>
      <w:pPr>
        <w:pStyle w:val="1011"/>
        <w:ind w:left="461"/>
        <w:spacing w:before="190" w:line="221" w:lineRule="auto"/>
        <w:rPr>
          <w:rFonts w:ascii="宋体" w:hAnsi="宋体" w:cs="宋体"/>
        </w:rPr>
      </w:pPr>
      <w:r>
        <w:rPr>
          <w:rFonts w:ascii="宋体" w:hAnsi="宋体" w:cs="宋体"/>
          <w:spacing w:val="-1"/>
        </w:rPr>
        <w:t xml:space="preserve">苏州市吴江区横扇街道，具体按甲方实际需求为准。</w:t>
      </w:r>
      <w:r>
        <w:rPr>
          <w:rFonts w:ascii="宋体" w:hAnsi="宋体" w:cs="宋体"/>
        </w:rPr>
      </w:r>
      <w:r/>
    </w:p>
    <w:p>
      <w:pPr>
        <w:pStyle w:val="1011"/>
        <w:ind w:left="462"/>
        <w:spacing w:before="145" w:line="221" w:lineRule="auto"/>
        <w:rPr>
          <w:rFonts w:ascii="宋体" w:hAnsi="宋体" w:cs="宋体"/>
        </w:rPr>
      </w:pPr>
      <w:r>
        <w:rPr>
          <w:rFonts w:ascii="宋体" w:hAnsi="宋体" w:cs="宋体"/>
          <w:b/>
          <w:bCs/>
          <w:spacing w:val="-4"/>
        </w:rPr>
        <w:t xml:space="preserve">八、验收</w:t>
      </w:r>
      <w:r>
        <w:rPr>
          <w:rFonts w:ascii="宋体" w:hAnsi="宋体" w:cs="宋体"/>
        </w:rPr>
      </w:r>
      <w:r/>
    </w:p>
    <w:p>
      <w:pPr>
        <w:pStyle w:val="1011"/>
        <w:ind w:left="36" w:right="162" w:firstLine="437"/>
        <w:jc w:val="both"/>
        <w:spacing w:before="112" w:line="396" w:lineRule="auto"/>
        <w:rPr>
          <w:rFonts w:ascii="宋体" w:hAnsi="宋体" w:cs="宋体"/>
        </w:rPr>
      </w:pPr>
      <w:r>
        <w:rPr>
          <w:rFonts w:ascii="宋体" w:hAnsi="宋体" w:cs="宋体"/>
          <w:spacing w:val="-1"/>
        </w:rPr>
        <w:t xml:space="preserve">乙方应确保合同签订之日起 </w:t>
      </w:r>
      <w:r>
        <w:rPr>
          <w:rFonts w:ascii="Times New Roman" w:hAnsi="Times New Roman" w:eastAsia="Times New Roman" w:cs="Times New Roman"/>
          <w:spacing w:val="-1"/>
        </w:rPr>
        <w:t xml:space="preserve">90  </w:t>
      </w:r>
      <w:r>
        <w:rPr>
          <w:rFonts w:ascii="宋体" w:hAnsi="宋体" w:cs="宋体"/>
          <w:spacing w:val="-1"/>
        </w:rPr>
        <w:t xml:space="preserve">天内完成该项目全部渗滤液处理服务运行所需系统设备的安装调试并</w:t>
      </w:r>
      <w:r>
        <w:rPr>
          <w:rFonts w:ascii="宋体" w:hAnsi="宋体" w:cs="宋体"/>
        </w:rPr>
        <w:t xml:space="preserve">确保试运行验收合格，要求渗滤液处理量不少于</w:t>
      </w:r>
      <w:r>
        <w:rPr>
          <w:rFonts w:ascii="Times New Roman" w:hAnsi="Times New Roman" w:eastAsia="Times New Roman" w:cs="Times New Roman"/>
        </w:rPr>
        <w:t xml:space="preserve">40</w:t>
      </w:r>
      <w:r>
        <w:rPr>
          <w:rFonts w:ascii="宋体" w:hAnsi="宋体" w:cs="宋体"/>
          <w:spacing w:val="-1"/>
        </w:rPr>
        <w:t xml:space="preserve">吨</w:t>
      </w:r>
      <w:r>
        <w:rPr>
          <w:rFonts w:ascii="Times New Roman" w:hAnsi="Times New Roman" w:eastAsia="Times New Roman" w:cs="Times New Roman"/>
          <w:spacing w:val="-1"/>
        </w:rPr>
        <w:t xml:space="preserve">/</w:t>
      </w:r>
      <w:r>
        <w:rPr>
          <w:rFonts w:ascii="宋体" w:hAnsi="宋体" w:cs="宋体"/>
          <w:spacing w:val="-1"/>
        </w:rPr>
        <w:t xml:space="preserve">天，且处理规模须满足垃圾填埋场实际渗滤液量的</w:t>
      </w:r>
      <w:r>
        <w:rPr>
          <w:rFonts w:ascii="宋体" w:hAnsi="宋体" w:cs="宋体"/>
          <w:spacing w:val="-8"/>
        </w:rPr>
        <w:t xml:space="preserve">要求。</w:t>
      </w:r>
      <w:r>
        <w:rPr>
          <w:rFonts w:ascii="宋体" w:hAnsi="宋体" w:cs="宋体"/>
        </w:rPr>
      </w:r>
      <w:r/>
    </w:p>
    <w:p>
      <w:pPr>
        <w:pStyle w:val="1011"/>
        <w:ind w:left="472"/>
        <w:spacing w:before="54" w:line="221" w:lineRule="auto"/>
        <w:rPr>
          <w:rFonts w:ascii="宋体" w:hAnsi="宋体" w:cs="宋体"/>
        </w:rPr>
      </w:pPr>
      <w:r>
        <w:rPr>
          <w:rFonts w:ascii="宋体" w:hAnsi="宋体" w:cs="宋体"/>
          <w:spacing w:val="-1"/>
        </w:rPr>
        <w:t xml:space="preserve">1、验收标准:按招标文件要求及相关国家或行业的标准或规范。</w:t>
      </w:r>
      <w:r>
        <w:rPr>
          <w:rFonts w:ascii="宋体" w:hAnsi="宋体" w:cs="宋体"/>
        </w:rPr>
      </w:r>
      <w:r/>
    </w:p>
    <w:p>
      <w:pPr>
        <w:pStyle w:val="1011"/>
        <w:ind w:left="37" w:right="208" w:firstLine="422"/>
        <w:spacing w:before="217" w:line="316" w:lineRule="auto"/>
        <w:rPr>
          <w:rFonts w:ascii="宋体" w:hAnsi="宋体" w:cs="宋体"/>
        </w:rPr>
      </w:pPr>
      <w:r>
        <w:rPr>
          <w:rFonts w:ascii="宋体" w:hAnsi="宋体" w:cs="宋体"/>
          <w:spacing w:val="1"/>
        </w:rPr>
        <w:t xml:space="preserve">2、项目所需设施设备安装调试完成后，由乙方提出书面申请，甲方</w:t>
      </w:r>
      <w:r>
        <w:rPr>
          <w:rFonts w:ascii="宋体" w:hAnsi="宋体" w:cs="宋体"/>
        </w:rPr>
        <w:t xml:space="preserve">组织相关机构进行试运行验收， 试运行验收合格后以申报起始时间进入运营期；如不合格，整改后重新进行试运行</w:t>
      </w:r>
      <w:r>
        <w:rPr>
          <w:rFonts w:ascii="宋体" w:hAnsi="宋体" w:cs="宋体"/>
          <w:spacing w:val="-1"/>
        </w:rPr>
        <w:t xml:space="preserve">验收。</w:t>
      </w:r>
      <w:r>
        <w:rPr>
          <w:rFonts w:ascii="宋体" w:hAnsi="宋体" w:cs="宋体"/>
        </w:rPr>
      </w:r>
      <w:r/>
    </w:p>
    <w:p>
      <w:pPr>
        <w:pStyle w:val="1011"/>
        <w:ind w:left="38" w:right="171" w:firstLine="422"/>
        <w:spacing w:before="217" w:line="316" w:lineRule="auto"/>
        <w:rPr>
          <w:rFonts w:ascii="宋体" w:hAnsi="宋体" w:cs="宋体"/>
        </w:rPr>
      </w:pPr>
      <w:r>
        <w:rPr>
          <w:rFonts w:ascii="宋体" w:hAnsi="宋体" w:cs="宋体"/>
          <w:spacing w:val="2"/>
        </w:rPr>
        <w:t xml:space="preserve">3、运营期过程中，甲方有权随时进行监督和抽</w:t>
      </w:r>
      <w:r>
        <w:rPr>
          <w:rFonts w:ascii="宋体" w:hAnsi="宋体" w:cs="宋体"/>
          <w:spacing w:val="1"/>
        </w:rPr>
        <w:t xml:space="preserve">查，如有不符合招标要求的情况，乙方须承担由此发</w:t>
      </w:r>
      <w:r>
        <w:rPr>
          <w:rFonts w:ascii="宋体" w:hAnsi="宋体" w:cs="宋体"/>
          <w:spacing w:val="-1"/>
        </w:rPr>
        <w:t xml:space="preserve">生的一切损失和费用，且甲方有权立即中止或终止乙方的合同的权利。</w:t>
      </w:r>
      <w:r>
        <w:rPr>
          <w:rFonts w:ascii="宋体" w:hAnsi="宋体" w:cs="宋体"/>
        </w:rPr>
      </w:r>
      <w:r/>
    </w:p>
    <w:p>
      <w:pPr>
        <w:pStyle w:val="1011"/>
        <w:ind w:left="464"/>
        <w:spacing w:before="216" w:line="221" w:lineRule="auto"/>
        <w:rPr>
          <w:rFonts w:ascii="宋体" w:hAnsi="宋体" w:cs="宋体"/>
        </w:rPr>
      </w:pPr>
      <w:r>
        <w:rPr>
          <w:rFonts w:ascii="宋体" w:hAnsi="宋体" w:cs="宋体"/>
          <w:b/>
          <w:bCs/>
          <w:spacing w:val="-3"/>
        </w:rPr>
        <w:t xml:space="preserve">九、服务质量与考核</w:t>
      </w:r>
      <w:r>
        <w:rPr>
          <w:rFonts w:ascii="宋体" w:hAnsi="宋体" w:cs="宋体"/>
        </w:rPr>
      </w:r>
      <w:r/>
    </w:p>
    <w:p>
      <w:pPr>
        <w:pStyle w:val="1011"/>
        <w:ind w:left="39" w:firstLine="434"/>
        <w:jc w:val="both"/>
        <w:spacing w:before="217" w:line="411" w:lineRule="auto"/>
        <w:rPr>
          <w:rFonts w:ascii="宋体" w:hAnsi="宋体" w:cs="宋体"/>
        </w:rPr>
      </w:pPr>
      <w:r>
        <w:rPr>
          <w:rFonts w:ascii="宋体" w:hAnsi="宋体" w:cs="宋体"/>
          <w:spacing w:val="-2"/>
        </w:rPr>
        <w:t xml:space="preserve">乙方应严格按照招标文件的有关规定提供服务，满足招标文件中所列全部要求和乙方承诺的其它指标，</w:t>
      </w:r>
      <w:r>
        <w:rPr>
          <w:rFonts w:ascii="宋体" w:hAnsi="宋体" w:cs="宋体"/>
          <w:spacing w:val="-1"/>
        </w:rPr>
        <w:t xml:space="preserve">并由甲方按照具体项目要求进行考核。对未按规定提供服务或者部分服务不合格的，视具体情况按比例扣分。（考核明细详见附件）</w:t>
      </w:r>
      <w:r>
        <w:rPr>
          <w:rFonts w:ascii="宋体" w:hAnsi="宋体" w:cs="宋体"/>
        </w:rPr>
      </w:r>
      <w:r/>
    </w:p>
    <w:p>
      <w:pPr>
        <w:pStyle w:val="1011"/>
        <w:ind w:left="460"/>
        <w:spacing w:line="221" w:lineRule="auto"/>
        <w:rPr>
          <w:rFonts w:ascii="宋体" w:hAnsi="宋体" w:cs="宋体"/>
        </w:rPr>
      </w:pPr>
      <w:r>
        <w:rPr>
          <w:rFonts w:ascii="宋体" w:hAnsi="宋体" w:cs="宋体"/>
          <w:b/>
          <w:bCs/>
          <w:spacing w:val="-4"/>
        </w:rPr>
        <w:t xml:space="preserve">十、违约责任</w:t>
      </w:r>
      <w:r>
        <w:rPr>
          <w:rFonts w:ascii="宋体" w:hAnsi="宋体" w:cs="宋体"/>
        </w:rPr>
      </w:r>
      <w:r/>
    </w:p>
    <w:p>
      <w:pPr>
        <w:pStyle w:val="1011"/>
        <w:ind w:left="36" w:right="162" w:firstLine="421"/>
        <w:spacing w:before="260" w:line="387" w:lineRule="auto"/>
        <w:rPr>
          <w:rFonts w:ascii="宋体" w:hAnsi="宋体" w:cs="宋体"/>
        </w:rPr>
      </w:pPr>
      <w:r>
        <w:rPr>
          <w:rFonts w:ascii="宋体" w:hAnsi="宋体" w:cs="宋体"/>
          <w:spacing w:val="-1"/>
        </w:rPr>
        <w:t xml:space="preserve">合同一方不履行合同义务或者履行合同义务不符合约定的，应当承担继续履行、采取补救措施或者赔</w:t>
      </w:r>
      <w:r>
        <w:rPr>
          <w:rFonts w:ascii="宋体" w:hAnsi="宋体" w:cs="宋体"/>
          <w:spacing w:val="-3"/>
        </w:rPr>
        <w:t xml:space="preserve">偿损失等违约责任。</w:t>
      </w:r>
      <w:r>
        <w:rPr>
          <w:rFonts w:ascii="宋体" w:hAnsi="宋体" w:cs="宋体"/>
        </w:rPr>
      </w:r>
      <w:r/>
    </w:p>
    <w:p>
      <w:pPr>
        <w:pStyle w:val="1011"/>
        <w:ind w:left="472"/>
        <w:spacing w:line="221" w:lineRule="auto"/>
        <w:rPr>
          <w:rFonts w:ascii="宋体" w:hAnsi="宋体" w:cs="宋体"/>
        </w:rPr>
      </w:pPr>
      <w:r>
        <w:rPr>
          <w:rFonts w:ascii="宋体" w:hAnsi="宋体" w:cs="宋体"/>
          <w:spacing w:val="-4"/>
        </w:rPr>
        <w:t xml:space="preserve">1、甲方违约责任</w:t>
      </w:r>
      <w:r>
        <w:rPr>
          <w:rFonts w:ascii="宋体" w:hAnsi="宋体" w:cs="宋体"/>
        </w:rPr>
      </w:r>
      <w:r/>
    </w:p>
    <w:p>
      <w:pPr>
        <w:pStyle w:val="1011"/>
        <w:ind w:left="42" w:right="171" w:firstLine="421"/>
        <w:spacing w:before="145" w:line="316" w:lineRule="auto"/>
        <w:rPr>
          <w:rFonts w:ascii="宋体" w:hAnsi="宋体" w:cs="宋体"/>
        </w:rPr>
      </w:pPr>
      <w:r>
        <w:rPr>
          <w:rFonts w:ascii="宋体" w:hAnsi="宋体" w:cs="宋体"/>
          <w:spacing w:val="-1"/>
        </w:rPr>
        <w:t xml:space="preserve">（1）在合同生效后，甲方无理由要求终止服务的，应向乙方偿付合同总价款的 5%，作为违约金，违约金不足以补偿损失的，乙方有权要求甲方</w:t>
      </w:r>
      <w:r>
        <w:rPr>
          <w:rFonts w:ascii="宋体" w:hAnsi="宋体" w:cs="宋体"/>
          <w:spacing w:val="-2"/>
        </w:rPr>
        <w:t xml:space="preserve">补足。</w:t>
      </w:r>
      <w:r>
        <w:rPr>
          <w:rFonts w:ascii="宋体" w:hAnsi="宋体" w:cs="宋体"/>
        </w:rPr>
      </w:r>
      <w:r/>
    </w:p>
    <w:p>
      <w:pPr>
        <w:pStyle w:val="1011"/>
        <w:ind w:left="463"/>
        <w:spacing w:before="216" w:line="221" w:lineRule="auto"/>
        <w:rPr>
          <w:rFonts w:ascii="宋体" w:hAnsi="宋体" w:cs="宋体"/>
        </w:rPr>
      </w:pPr>
      <w:r>
        <w:rPr>
          <w:rFonts w:ascii="宋体" w:hAnsi="宋体" w:cs="宋体"/>
          <w:spacing w:val="-1"/>
        </w:rPr>
        <w:t xml:space="preserve">（2）甲方违反合同规定，拒绝接受乙方提供服务，应当承担乙方由此造成的损失。</w:t>
      </w:r>
      <w:r>
        <w:rPr>
          <w:rFonts w:ascii="宋体" w:hAnsi="宋体" w:cs="宋体"/>
        </w:rPr>
      </w:r>
      <w:r/>
    </w:p>
    <w:p>
      <w:pPr>
        <w:pStyle w:val="1011"/>
        <w:ind w:left="459"/>
        <w:spacing w:before="261" w:line="221" w:lineRule="auto"/>
        <w:rPr>
          <w:rFonts w:ascii="宋体" w:hAnsi="宋体" w:cs="宋体"/>
        </w:rPr>
      </w:pPr>
      <w:r>
        <w:rPr>
          <w:rFonts w:ascii="宋体" w:hAnsi="宋体" w:cs="宋体"/>
          <w:spacing w:val="-2"/>
        </w:rPr>
        <w:t xml:space="preserve">2、乙方违约责任</w:t>
      </w:r>
      <w:r>
        <w:rPr>
          <w:rFonts w:ascii="宋体" w:hAnsi="宋体" w:cs="宋体"/>
        </w:rPr>
      </w:r>
      <w:r/>
    </w:p>
    <w:p>
      <w:pPr>
        <w:pStyle w:val="1011"/>
        <w:ind w:left="62" w:right="209" w:firstLine="400"/>
        <w:spacing w:before="145" w:line="316" w:lineRule="auto"/>
        <w:rPr>
          <w:rFonts w:ascii="宋体" w:hAnsi="宋体" w:cs="宋体"/>
        </w:rPr>
      </w:pPr>
      <w:r>
        <w:rPr>
          <w:rFonts w:ascii="宋体" w:hAnsi="宋体" w:cs="宋体"/>
        </w:rPr>
        <w:t xml:space="preserve">（1）乙方采用转包、分包的形式履行合同的，甲方有权中止或</w:t>
      </w:r>
      <w:r>
        <w:rPr>
          <w:rFonts w:ascii="宋体" w:hAnsi="宋体" w:cs="宋体"/>
          <w:spacing w:val="-1"/>
        </w:rPr>
        <w:t xml:space="preserve">终止合同，由此给甲方造成损失的，</w:t>
      </w:r>
      <w:r>
        <w:rPr>
          <w:rFonts w:ascii="宋体" w:hAnsi="宋体" w:cs="宋体"/>
          <w:spacing w:val="-4"/>
        </w:rPr>
        <w:t xml:space="preserve">由乙方承担赔偿责任。</w:t>
      </w:r>
      <w:r>
        <w:rPr>
          <w:rFonts w:ascii="宋体" w:hAnsi="宋体" w:cs="宋体"/>
        </w:rPr>
      </w:r>
      <w:r/>
    </w:p>
    <w:p>
      <w:pPr>
        <w:pStyle w:val="1011"/>
        <w:ind w:left="462"/>
        <w:spacing w:before="217" w:line="221" w:lineRule="auto"/>
        <w:rPr>
          <w:rFonts w:ascii="宋体" w:hAnsi="宋体" w:cs="宋体"/>
        </w:rPr>
      </w:pPr>
      <w:r>
        <w:rPr>
          <w:rFonts w:ascii="宋体" w:hAnsi="宋体" w:cs="宋体"/>
          <w:spacing w:val="-1"/>
        </w:rPr>
        <w:t xml:space="preserve">（2）乙方未经甲方许可随意更换中标的主要技术人员及设备。</w:t>
      </w:r>
      <w:r>
        <w:rPr>
          <w:rFonts w:ascii="宋体" w:hAnsi="宋体" w:cs="宋体"/>
        </w:rPr>
      </w:r>
      <w:r/>
    </w:p>
    <w:p>
      <w:pPr>
        <w:pStyle w:val="1011"/>
        <w:ind w:left="40" w:right="172" w:firstLine="422"/>
        <w:spacing w:before="217" w:line="316" w:lineRule="auto"/>
        <w:rPr>
          <w:rFonts w:ascii="宋体" w:hAnsi="宋体" w:cs="宋体"/>
        </w:rPr>
      </w:pPr>
      <w:r>
        <w:rPr>
          <w:rFonts w:ascii="宋体" w:hAnsi="宋体" w:cs="宋体"/>
          <w:spacing w:val="2"/>
        </w:rPr>
        <w:t xml:space="preserve">（3）乙方不能提供服务的，或服务不合格</w:t>
      </w:r>
      <w:r>
        <w:rPr>
          <w:rFonts w:ascii="宋体" w:hAnsi="宋体" w:cs="宋体"/>
          <w:spacing w:val="1"/>
        </w:rPr>
        <w:t xml:space="preserve">从而影响甲方按期正常使用的，应向甲方偿付合同总价款</w:t>
      </w:r>
      <w:r>
        <w:rPr>
          <w:rFonts w:ascii="宋体" w:hAnsi="宋体" w:cs="宋体"/>
        </w:rPr>
        <w:t xml:space="preserve">5%的违约金，违约金不足以补偿损失的甲方有</w:t>
      </w:r>
      <w:r>
        <w:rPr>
          <w:rFonts w:ascii="宋体" w:hAnsi="宋体" w:cs="宋体"/>
          <w:spacing w:val="-1"/>
        </w:rPr>
        <w:t xml:space="preserve">权要求乙方补足。</w:t>
      </w:r>
      <w:r>
        <w:rPr>
          <w:rFonts w:ascii="宋体" w:hAnsi="宋体" w:cs="宋体"/>
        </w:rPr>
      </w:r>
      <w:r/>
    </w:p>
    <w:p>
      <w:pPr>
        <w:pStyle w:val="1011"/>
        <w:ind w:left="38" w:right="171" w:firstLine="424"/>
        <w:spacing w:before="217" w:line="316" w:lineRule="auto"/>
        <w:rPr>
          <w:rFonts w:ascii="宋体" w:hAnsi="宋体" w:cs="宋体"/>
        </w:rPr>
      </w:pPr>
      <w:r>
        <w:rPr>
          <w:rFonts w:ascii="宋体" w:hAnsi="宋体" w:cs="宋体"/>
          <w:spacing w:val="2"/>
        </w:rPr>
        <w:t xml:space="preserve">（4）乙方逾期提供服务的，应与甲方和政府</w:t>
      </w:r>
      <w:r>
        <w:rPr>
          <w:rFonts w:ascii="宋体" w:hAnsi="宋体" w:cs="宋体"/>
          <w:spacing w:val="1"/>
        </w:rPr>
        <w:t xml:space="preserve">采购管理部门协商，甲方仍需求的，乙方应立即提供服</w:t>
      </w:r>
      <w:r>
        <w:rPr>
          <w:rFonts w:ascii="宋体" w:hAnsi="宋体" w:cs="宋体"/>
        </w:rPr>
        <w:t xml:space="preserve">务按照逾期服务的每天万分之四支付逾期违</w:t>
      </w:r>
      <w:r>
        <w:rPr>
          <w:rFonts w:ascii="宋体" w:hAnsi="宋体" w:cs="宋体"/>
          <w:spacing w:val="-1"/>
        </w:rPr>
        <w:t xml:space="preserve">约金，同时承担甲方因此遭致的损失费用。</w:t>
      </w:r>
      <w:r>
        <w:rPr>
          <w:rFonts w:ascii="宋体" w:hAnsi="宋体" w:cs="宋体"/>
        </w:rPr>
      </w:r>
      <w:r/>
    </w:p>
    <w:p>
      <w:pPr>
        <w:pStyle w:val="1011"/>
        <w:ind w:left="37" w:right="171" w:firstLine="425"/>
        <w:spacing w:before="217" w:line="316" w:lineRule="auto"/>
        <w:rPr>
          <w:rFonts w:ascii="宋体" w:hAnsi="宋体" w:cs="宋体"/>
        </w:rPr>
      </w:pPr>
      <w:r>
        <w:rPr>
          <w:rFonts w:ascii="宋体" w:hAnsi="宋体" w:cs="宋体"/>
          <w:spacing w:val="2"/>
        </w:rPr>
        <w:t xml:space="preserve">（5）乙方在项目实施过程中，因作风不实、</w:t>
      </w:r>
      <w:r>
        <w:rPr>
          <w:rFonts w:ascii="宋体" w:hAnsi="宋体" w:cs="宋体"/>
          <w:spacing w:val="1"/>
        </w:rPr>
        <w:t xml:space="preserve">工作效率低下、成果质量差等原因，影响工作的，甲方</w:t>
      </w:r>
      <w:r>
        <w:rPr>
          <w:rFonts w:ascii="宋体" w:hAnsi="宋体" w:cs="宋体"/>
          <w:spacing w:val="-1"/>
        </w:rPr>
        <w:t xml:space="preserve">有权酌情处置。性质严重的，将被列为不诚信单位并上报市、省行政主管部门。</w:t>
      </w:r>
      <w:r>
        <w:rPr>
          <w:rFonts w:ascii="宋体" w:hAnsi="宋体" w:cs="宋体"/>
        </w:rPr>
      </w:r>
      <w:r/>
    </w:p>
    <w:p>
      <w:pPr>
        <w:pStyle w:val="1011"/>
        <w:ind w:left="462"/>
        <w:spacing w:before="216" w:line="221" w:lineRule="auto"/>
        <w:rPr>
          <w:rFonts w:ascii="宋体" w:hAnsi="宋体" w:cs="宋体"/>
          <w:spacing w:val="-1"/>
        </w:rPr>
      </w:pPr>
      <w:r>
        <w:rPr>
          <w:rFonts w:ascii="宋体" w:hAnsi="宋体" w:cs="宋体"/>
          <w:spacing w:val="-1"/>
        </w:rPr>
        <w:t xml:space="preserve">（6）出现重大事故或问题，或严重违反甲方关于本项目的其他有关规定。</w:t>
      </w:r>
      <w:r/>
    </w:p>
    <w:p>
      <w:pPr>
        <w:pStyle w:val="1011"/>
        <w:ind w:left="462"/>
        <w:spacing w:before="216" w:line="221" w:lineRule="auto"/>
        <w:rPr>
          <w:rFonts w:ascii="宋体" w:hAnsi="宋体" w:cs="宋体"/>
        </w:rPr>
      </w:pPr>
      <w:r>
        <w:rPr>
          <w:rFonts w:hint="eastAsia" w:ascii="宋体" w:hAnsi="宋体" w:cs="宋体"/>
          <w:spacing w:val="-1"/>
        </w:rPr>
        <w:t xml:space="preserve">注：出现以上六项违约责任，甲方有权中止合同</w:t>
      </w:r>
      <w:r>
        <w:rPr>
          <w:rFonts w:ascii="宋体" w:hAnsi="宋体" w:cs="宋体"/>
        </w:rPr>
      </w:r>
      <w:r/>
    </w:p>
    <w:p>
      <w:pPr>
        <w:pStyle w:val="1011"/>
        <w:ind w:left="460"/>
        <w:spacing w:before="217" w:line="221" w:lineRule="auto"/>
        <w:rPr>
          <w:rFonts w:ascii="宋体" w:hAnsi="宋体" w:cs="宋体"/>
        </w:rPr>
      </w:pPr>
      <w:r>
        <w:rPr>
          <w:rFonts w:ascii="宋体" w:hAnsi="宋体" w:cs="宋体"/>
          <w:b/>
          <w:bCs/>
          <w:spacing w:val="-5"/>
        </w:rPr>
        <w:t xml:space="preserve">十一、不可抗力</w:t>
      </w:r>
      <w:r>
        <w:rPr>
          <w:rFonts w:ascii="宋体" w:hAnsi="宋体" w:cs="宋体"/>
        </w:rPr>
      </w:r>
      <w:r/>
    </w:p>
    <w:p>
      <w:pPr>
        <w:pStyle w:val="1011"/>
        <w:ind w:left="472"/>
        <w:spacing w:before="216" w:line="221" w:lineRule="auto"/>
        <w:rPr>
          <w:rFonts w:ascii="宋体" w:hAnsi="宋体" w:cs="宋体"/>
        </w:rPr>
      </w:pPr>
      <w:r>
        <w:rPr>
          <w:rFonts w:ascii="宋体" w:hAnsi="宋体" w:cs="宋体"/>
          <w:spacing w:val="2"/>
        </w:rPr>
        <w:t xml:space="preserve">1、任何一方因不可抗力不能履行本合同规</w:t>
      </w:r>
      <w:r>
        <w:rPr>
          <w:rFonts w:ascii="宋体" w:hAnsi="宋体" w:cs="宋体"/>
          <w:spacing w:val="1"/>
        </w:rPr>
        <w:t xml:space="preserve">定的全部或部分义务，应尽快以书面形式将不可抗力的情</w:t>
      </w:r>
      <w:r>
        <w:rPr>
          <w:rFonts w:ascii="宋体" w:hAnsi="宋体" w:cs="宋体"/>
        </w:rPr>
      </w:r>
      <w:r/>
    </w:p>
    <w:p>
      <w:pPr>
        <w:pStyle w:val="1011"/>
        <w:ind w:left="38" w:right="22"/>
        <w:spacing w:before="114" w:line="411" w:lineRule="auto"/>
        <w:rPr>
          <w:rFonts w:ascii="宋体" w:hAnsi="宋体" w:cs="宋体"/>
        </w:rPr>
      </w:pPr>
      <w:r>
        <w:rPr>
          <w:rFonts w:ascii="宋体" w:hAnsi="宋体" w:cs="宋体"/>
        </w:rPr>
        <w:t xml:space="preserve">况、原因及对履行本合同的影响等及时通知</w:t>
      </w:r>
      <w:r>
        <w:rPr>
          <w:rFonts w:ascii="宋体" w:hAnsi="宋体" w:cs="宋体"/>
          <w:spacing w:val="-1"/>
        </w:rPr>
        <w:t xml:space="preserve">另一方。同时，遭受不可抗力影响的一方有义务尽可能及时采</w:t>
      </w:r>
      <w:r>
        <w:rPr>
          <w:rFonts w:ascii="宋体" w:hAnsi="宋体" w:cs="宋体"/>
        </w:rPr>
        <w:t xml:space="preserve">取适当或必要措施减少或消除不可抗力的影响</w:t>
      </w:r>
      <w:r>
        <w:rPr>
          <w:rFonts w:ascii="宋体" w:hAnsi="宋体" w:cs="宋体"/>
          <w:spacing w:val="-1"/>
        </w:rPr>
        <w:t xml:space="preserve">，因未尽本义务而造成的相关损失由其承担。</w:t>
      </w:r>
      <w:r>
        <w:rPr>
          <w:rFonts w:ascii="宋体" w:hAnsi="宋体" w:cs="宋体"/>
        </w:rPr>
      </w:r>
      <w:r/>
    </w:p>
    <w:p>
      <w:pPr>
        <w:pStyle w:val="1011"/>
        <w:ind w:left="54" w:right="24" w:firstLine="405"/>
        <w:spacing w:line="316" w:lineRule="auto"/>
        <w:rPr>
          <w:rFonts w:ascii="宋体" w:hAnsi="宋体" w:cs="宋体"/>
        </w:rPr>
      </w:pPr>
      <w:r>
        <w:rPr>
          <w:rFonts w:ascii="宋体" w:hAnsi="宋体" w:cs="宋体"/>
          <w:spacing w:val="2"/>
        </w:rPr>
        <w:t xml:space="preserve">2、发生不可抗力事件，任何一方均不对因不可抗力无法履行或迟延履行</w:t>
      </w:r>
      <w:r>
        <w:rPr>
          <w:rFonts w:ascii="宋体" w:hAnsi="宋体" w:cs="宋体"/>
          <w:spacing w:val="1"/>
        </w:rPr>
        <w:t xml:space="preserve">本合同义务而使另一方蒙受</w:t>
      </w:r>
      <w:r>
        <w:rPr>
          <w:rFonts w:ascii="宋体" w:hAnsi="宋体" w:cs="宋体"/>
          <w:spacing w:val="-2"/>
        </w:rPr>
        <w:t xml:space="preserve">的任何损失承担责任，法律另有规定的除外。</w:t>
      </w:r>
      <w:r>
        <w:rPr>
          <w:rFonts w:ascii="宋体" w:hAnsi="宋体" w:cs="宋体"/>
        </w:rPr>
      </w:r>
      <w:r/>
    </w:p>
    <w:p>
      <w:pPr>
        <w:pStyle w:val="1011"/>
        <w:ind w:left="40" w:right="24" w:firstLine="420"/>
        <w:spacing w:before="217" w:line="316" w:lineRule="auto"/>
        <w:rPr>
          <w:rFonts w:ascii="宋体" w:hAnsi="宋体" w:cs="宋体"/>
        </w:rPr>
      </w:pPr>
      <w:r>
        <w:rPr>
          <w:rFonts w:ascii="宋体" w:hAnsi="宋体" w:cs="宋体"/>
          <w:spacing w:val="2"/>
        </w:rPr>
        <w:t xml:space="preserve">3、因不可抗力不能履行合同的，根据不可抗力的影响，部分或者全</w:t>
      </w:r>
      <w:r>
        <w:rPr>
          <w:rFonts w:ascii="宋体" w:hAnsi="宋体" w:cs="宋体"/>
          <w:spacing w:val="1"/>
        </w:rPr>
        <w:t xml:space="preserve">部免除责任。但合同一方迟延履</w:t>
      </w:r>
      <w:r>
        <w:rPr>
          <w:rFonts w:ascii="宋体" w:hAnsi="宋体" w:cs="宋体"/>
          <w:spacing w:val="-1"/>
        </w:rPr>
        <w:t xml:space="preserve">行后发生不可抗力的，不能免除责任。</w:t>
      </w:r>
      <w:r>
        <w:rPr>
          <w:rFonts w:ascii="宋体" w:hAnsi="宋体" w:cs="宋体"/>
        </w:rPr>
      </w:r>
      <w:r/>
    </w:p>
    <w:p>
      <w:pPr>
        <w:pStyle w:val="1011"/>
        <w:ind w:left="57" w:right="33" w:firstLine="398"/>
        <w:spacing w:before="217" w:line="317" w:lineRule="auto"/>
        <w:rPr>
          <w:rFonts w:ascii="宋体" w:hAnsi="宋体" w:cs="宋体"/>
        </w:rPr>
      </w:pPr>
      <w:r>
        <w:rPr>
          <w:rFonts w:ascii="宋体" w:hAnsi="宋体" w:cs="宋体"/>
          <w:spacing w:val="2"/>
        </w:rPr>
        <w:t xml:space="preserve">4、合同各方应根据不可抗力对本合同履行的影响程度，协</w:t>
      </w:r>
      <w:r>
        <w:rPr>
          <w:rFonts w:ascii="宋体" w:hAnsi="宋体" w:cs="宋体"/>
          <w:spacing w:val="1"/>
        </w:rPr>
        <w:t xml:space="preserve">商确定是否终止本合同或是继续履行本合</w:t>
      </w:r>
      <w:r>
        <w:rPr>
          <w:rFonts w:ascii="宋体" w:hAnsi="宋体" w:cs="宋体"/>
          <w:spacing w:val="-15"/>
        </w:rPr>
        <w:t xml:space="preserve">同。</w:t>
      </w:r>
      <w:r>
        <w:rPr>
          <w:rFonts w:ascii="宋体" w:hAnsi="宋体" w:cs="宋体"/>
        </w:rPr>
      </w:r>
      <w:r/>
    </w:p>
    <w:p>
      <w:pPr>
        <w:pStyle w:val="1011"/>
        <w:ind w:left="460"/>
        <w:spacing w:before="214" w:line="221" w:lineRule="auto"/>
        <w:rPr>
          <w:rFonts w:ascii="宋体" w:hAnsi="宋体" w:cs="宋体"/>
        </w:rPr>
      </w:pPr>
      <w:r>
        <w:rPr>
          <w:rFonts w:ascii="宋体" w:hAnsi="宋体" w:cs="宋体"/>
          <w:b/>
          <w:bCs/>
          <w:spacing w:val="-3"/>
        </w:rPr>
        <w:t xml:space="preserve">十二、合同的解除、转让和终止</w:t>
      </w:r>
      <w:r>
        <w:rPr>
          <w:rFonts w:ascii="宋体" w:hAnsi="宋体" w:cs="宋体"/>
        </w:rPr>
      </w:r>
      <w:r/>
    </w:p>
    <w:p>
      <w:pPr>
        <w:pStyle w:val="1011"/>
        <w:ind w:left="472"/>
        <w:spacing w:before="216" w:line="221" w:lineRule="auto"/>
        <w:rPr>
          <w:rFonts w:ascii="宋体" w:hAnsi="宋体" w:cs="宋体"/>
        </w:rPr>
      </w:pPr>
      <w:r>
        <w:rPr>
          <w:rFonts w:ascii="宋体" w:hAnsi="宋体" w:cs="宋体"/>
          <w:spacing w:val="-4"/>
        </w:rPr>
        <w:t xml:space="preserve">1、合同的解除</w:t>
      </w:r>
      <w:r>
        <w:rPr>
          <w:rFonts w:ascii="宋体" w:hAnsi="宋体" w:cs="宋体"/>
        </w:rPr>
      </w:r>
      <w:r/>
    </w:p>
    <w:p>
      <w:pPr>
        <w:pStyle w:val="1011"/>
        <w:ind w:left="463"/>
        <w:spacing w:before="217" w:line="221" w:lineRule="auto"/>
        <w:rPr>
          <w:rFonts w:ascii="宋体" w:hAnsi="宋体" w:cs="宋体"/>
        </w:rPr>
      </w:pPr>
      <w:r>
        <w:rPr>
          <w:rFonts w:ascii="宋体" w:hAnsi="宋体" w:cs="宋体"/>
          <w:spacing w:val="-2"/>
        </w:rPr>
        <w:t xml:space="preserve">（1）有下列情形之一，合同一方可以解除合同：</w:t>
      </w:r>
      <w:r>
        <w:rPr>
          <w:rFonts w:ascii="宋体" w:hAnsi="宋体" w:cs="宋体"/>
        </w:rPr>
      </w:r>
      <w:r/>
    </w:p>
    <w:p>
      <w:pPr>
        <w:pStyle w:val="1011"/>
        <w:ind w:left="456"/>
        <w:spacing w:before="216" w:line="219" w:lineRule="auto"/>
        <w:rPr>
          <w:rFonts w:ascii="宋体" w:hAnsi="宋体" w:cs="宋体"/>
        </w:rPr>
      </w:pPr>
      <w:r>
        <w:rPr>
          <w:rFonts w:ascii="宋体" w:hAnsi="宋体" w:cs="宋体"/>
          <w:spacing w:val="-1"/>
        </w:rPr>
        <w:t xml:space="preserve">①因不可抗力致使不能实现合同目的，未受不可抗力影响的一方有权解除合同；</w:t>
      </w:r>
      <w:r>
        <w:rPr>
          <w:rFonts w:ascii="宋体" w:hAnsi="宋体" w:cs="宋体"/>
        </w:rPr>
      </w:r>
      <w:r/>
    </w:p>
    <w:p>
      <w:pPr>
        <w:pStyle w:val="1011"/>
        <w:ind w:left="455"/>
        <w:spacing w:before="219" w:line="219" w:lineRule="auto"/>
        <w:rPr>
          <w:rFonts w:ascii="宋体" w:hAnsi="宋体" w:cs="宋体"/>
        </w:rPr>
      </w:pPr>
      <w:r>
        <w:rPr>
          <w:rFonts w:ascii="宋体" w:hAnsi="宋体" w:cs="宋体"/>
          <w:spacing w:val="-1"/>
        </w:rPr>
        <w:t xml:space="preserve">②因合同一方违约导致合同不能履行，另一方有权解除合同；</w:t>
      </w:r>
      <w:r>
        <w:rPr>
          <w:rFonts w:ascii="宋体" w:hAnsi="宋体" w:cs="宋体"/>
        </w:rPr>
      </w:r>
      <w:r/>
    </w:p>
    <w:p>
      <w:pPr>
        <w:pStyle w:val="1011"/>
        <w:ind w:left="57" w:right="24" w:firstLine="405"/>
        <w:spacing w:before="219" w:line="316" w:lineRule="auto"/>
        <w:rPr>
          <w:rFonts w:ascii="宋体" w:hAnsi="宋体" w:cs="宋体"/>
        </w:rPr>
      </w:pPr>
      <w:r>
        <w:rPr>
          <w:rFonts w:ascii="宋体" w:hAnsi="宋体" w:cs="宋体"/>
          <w:spacing w:val="2"/>
        </w:rPr>
        <w:t xml:space="preserve">（2）有权解除合同的一方，应当在违约事实或不可抗力发生之</w:t>
      </w:r>
      <w:r>
        <w:rPr>
          <w:rFonts w:ascii="宋体" w:hAnsi="宋体" w:cs="宋体"/>
          <w:spacing w:val="1"/>
        </w:rPr>
        <w:t xml:space="preserve">后三天内书面通知对方以主张解除合</w:t>
      </w:r>
      <w:r>
        <w:rPr>
          <w:rFonts w:ascii="宋体" w:hAnsi="宋体" w:cs="宋体"/>
          <w:spacing w:val="-2"/>
        </w:rPr>
        <w:t xml:space="preserve">同，合同在书面通知到达对方时解除。</w:t>
      </w:r>
      <w:r>
        <w:rPr>
          <w:rFonts w:ascii="宋体" w:hAnsi="宋体" w:cs="宋体"/>
        </w:rPr>
      </w:r>
      <w:r/>
    </w:p>
    <w:p>
      <w:pPr>
        <w:pStyle w:val="1011"/>
        <w:ind w:left="459"/>
        <w:spacing w:before="217" w:line="222" w:lineRule="auto"/>
        <w:rPr>
          <w:rFonts w:ascii="宋体" w:hAnsi="宋体" w:cs="宋体"/>
        </w:rPr>
      </w:pPr>
      <w:r>
        <w:rPr>
          <w:rFonts w:ascii="宋体" w:hAnsi="宋体" w:cs="宋体"/>
          <w:spacing w:val="-2"/>
        </w:rPr>
        <w:t xml:space="preserve">2、合同的转让</w:t>
      </w:r>
      <w:r>
        <w:rPr>
          <w:rFonts w:ascii="宋体" w:hAnsi="宋体" w:cs="宋体"/>
        </w:rPr>
      </w:r>
      <w:r/>
    </w:p>
    <w:p>
      <w:pPr>
        <w:pStyle w:val="1011"/>
        <w:ind w:left="457"/>
        <w:spacing w:before="216" w:line="221" w:lineRule="auto"/>
        <w:rPr>
          <w:rFonts w:ascii="宋体" w:hAnsi="宋体" w:cs="宋体"/>
        </w:rPr>
      </w:pPr>
      <w:r>
        <w:rPr>
          <w:rFonts w:ascii="宋体" w:hAnsi="宋体" w:cs="宋体"/>
          <w:spacing w:val="-2"/>
        </w:rPr>
        <w:t xml:space="preserve">合同的部分和全部都不得转让。</w:t>
      </w:r>
      <w:r>
        <w:rPr>
          <w:rFonts w:ascii="宋体" w:hAnsi="宋体" w:cs="宋体"/>
        </w:rPr>
      </w:r>
      <w:r/>
    </w:p>
    <w:p>
      <w:pPr>
        <w:pStyle w:val="1011"/>
        <w:ind w:left="461"/>
        <w:spacing w:before="217" w:line="223" w:lineRule="auto"/>
        <w:rPr>
          <w:rFonts w:ascii="宋体" w:hAnsi="宋体" w:cs="宋体"/>
        </w:rPr>
      </w:pPr>
      <w:r>
        <w:rPr>
          <w:rFonts w:ascii="宋体" w:hAnsi="宋体" w:cs="宋体"/>
          <w:spacing w:val="-3"/>
        </w:rPr>
        <w:t xml:space="preserve">3、合同的终止</w:t>
      </w:r>
      <w:r>
        <w:rPr>
          <w:rFonts w:ascii="宋体" w:hAnsi="宋体" w:cs="宋体"/>
        </w:rPr>
      </w:r>
      <w:r/>
    </w:p>
    <w:p>
      <w:pPr>
        <w:pStyle w:val="1011"/>
        <w:ind w:left="457"/>
        <w:spacing w:before="213" w:line="221" w:lineRule="auto"/>
        <w:rPr>
          <w:rFonts w:ascii="宋体" w:hAnsi="宋体" w:cs="宋体"/>
        </w:rPr>
      </w:pPr>
      <w:r>
        <w:rPr>
          <w:rFonts w:ascii="宋体" w:hAnsi="宋体" w:cs="宋体"/>
          <w:spacing w:val="-1"/>
        </w:rPr>
        <w:t xml:space="preserve">本合同因下列原因而终止：</w:t>
      </w:r>
      <w:r>
        <w:rPr>
          <w:rFonts w:ascii="宋体" w:hAnsi="宋体" w:cs="宋体"/>
        </w:rPr>
      </w:r>
      <w:r/>
    </w:p>
    <w:p>
      <w:pPr>
        <w:pStyle w:val="1011"/>
        <w:ind w:left="463"/>
        <w:spacing w:before="217" w:line="221" w:lineRule="auto"/>
        <w:rPr>
          <w:rFonts w:ascii="宋体" w:hAnsi="宋体" w:cs="宋体"/>
        </w:rPr>
      </w:pPr>
      <w:r>
        <w:rPr>
          <w:rFonts w:ascii="宋体" w:hAnsi="宋体" w:cs="宋体"/>
          <w:spacing w:val="-4"/>
        </w:rPr>
        <w:t xml:space="preserve">（1）本合同正常履行完毕；</w:t>
      </w:r>
      <w:r>
        <w:rPr>
          <w:rFonts w:ascii="宋体" w:hAnsi="宋体" w:cs="宋体"/>
        </w:rPr>
      </w:r>
      <w:r/>
    </w:p>
    <w:p>
      <w:pPr>
        <w:pStyle w:val="1011"/>
        <w:ind w:left="463"/>
        <w:spacing w:before="216" w:line="221" w:lineRule="auto"/>
        <w:rPr>
          <w:rFonts w:ascii="宋体" w:hAnsi="宋体" w:cs="宋体"/>
        </w:rPr>
      </w:pPr>
      <w:r>
        <w:rPr>
          <w:rFonts w:ascii="宋体" w:hAnsi="宋体" w:cs="宋体"/>
          <w:spacing w:val="-2"/>
        </w:rPr>
        <w:t xml:space="preserve">（2）因不可抗力导致本合同无法履行或履行不必要；</w:t>
      </w:r>
      <w:r>
        <w:rPr>
          <w:rFonts w:ascii="宋体" w:hAnsi="宋体" w:cs="宋体"/>
        </w:rPr>
      </w:r>
      <w:r/>
    </w:p>
    <w:p>
      <w:pPr>
        <w:pStyle w:val="1011"/>
        <w:ind w:left="463"/>
        <w:spacing w:before="217" w:line="221" w:lineRule="auto"/>
        <w:rPr>
          <w:rFonts w:ascii="宋体" w:hAnsi="宋体" w:cs="宋体"/>
        </w:rPr>
      </w:pPr>
      <w:r>
        <w:rPr>
          <w:rFonts w:ascii="宋体" w:hAnsi="宋体" w:cs="宋体"/>
          <w:spacing w:val="-3"/>
        </w:rPr>
        <w:t xml:space="preserve">（3）任何一方行使解除权解除本合同；</w:t>
      </w:r>
      <w:r>
        <w:rPr>
          <w:rFonts w:ascii="宋体" w:hAnsi="宋体" w:cs="宋体"/>
        </w:rPr>
      </w:r>
      <w:r/>
    </w:p>
    <w:p>
      <w:pPr>
        <w:pStyle w:val="1011"/>
        <w:ind w:left="463"/>
        <w:spacing w:before="217" w:line="221" w:lineRule="auto"/>
        <w:rPr>
          <w:rFonts w:ascii="宋体" w:hAnsi="宋体" w:cs="宋体"/>
          <w:spacing w:val="-1"/>
        </w:rPr>
      </w:pPr>
      <w:r>
        <w:rPr>
          <w:rFonts w:ascii="宋体" w:hAnsi="宋体" w:cs="宋体"/>
          <w:spacing w:val="-1"/>
        </w:rPr>
        <w:t xml:space="preserve">（4）合同的继续履行将损害国家利益和社会公共利益。</w:t>
      </w:r>
      <w:r/>
    </w:p>
    <w:p>
      <w:pPr>
        <w:pStyle w:val="1011"/>
        <w:ind w:left="463"/>
        <w:spacing w:before="217" w:line="221" w:lineRule="auto"/>
        <w:rPr>
          <w:rFonts w:ascii="宋体" w:hAnsi="宋体" w:cs="宋体"/>
          <w:spacing w:val="-1"/>
        </w:rPr>
      </w:pPr>
      <w:r>
        <w:rPr>
          <w:rFonts w:hint="eastAsia" w:ascii="宋体" w:hAnsi="宋体" w:cs="宋体"/>
          <w:spacing w:val="-1"/>
        </w:rPr>
        <w:t xml:space="preserve">（5）合同履行期间，乙方违反廉政协议的，甲方有权终止合同。</w:t>
      </w:r>
      <w:r>
        <w:rPr>
          <w:rFonts w:ascii="宋体" w:hAnsi="宋体" w:cs="宋体"/>
          <w:spacing w:val="-1"/>
        </w:rPr>
      </w:r>
      <w:r/>
    </w:p>
    <w:p>
      <w:pPr>
        <w:pStyle w:val="1011"/>
        <w:ind w:left="469"/>
        <w:spacing w:before="217" w:line="221" w:lineRule="auto"/>
        <w:rPr>
          <w:rFonts w:ascii="宋体" w:hAnsi="宋体" w:cs="宋体"/>
          <w:spacing w:val="-1"/>
        </w:rPr>
      </w:pPr>
      <w:r>
        <w:rPr>
          <w:rFonts w:ascii="宋体" w:hAnsi="宋体" w:cs="宋体"/>
          <w:spacing w:val="-1"/>
        </w:rPr>
        <w:t xml:space="preserve">除上述情形外，甲乙双方不得擅自终止合同。</w:t>
      </w:r>
      <w:r/>
    </w:p>
    <w:p>
      <w:pPr>
        <w:pStyle w:val="1011"/>
        <w:ind w:left="460"/>
        <w:spacing w:before="216" w:line="221" w:lineRule="auto"/>
        <w:rPr>
          <w:rFonts w:ascii="宋体" w:hAnsi="宋体" w:cs="宋体"/>
        </w:rPr>
      </w:pPr>
      <w:r>
        <w:rPr>
          <w:rFonts w:ascii="宋体" w:hAnsi="宋体" w:cs="宋体"/>
          <w:b/>
          <w:bCs/>
          <w:spacing w:val="-3"/>
        </w:rPr>
        <w:t xml:space="preserve">十三、争议处置</w:t>
      </w:r>
      <w:r>
        <w:rPr>
          <w:rFonts w:ascii="宋体" w:hAnsi="宋体" w:cs="宋体"/>
        </w:rPr>
      </w:r>
      <w:r/>
    </w:p>
    <w:p>
      <w:pPr>
        <w:pStyle w:val="1011"/>
        <w:ind w:left="45" w:right="35" w:firstLine="427"/>
        <w:spacing w:before="218" w:line="411" w:lineRule="auto"/>
        <w:rPr>
          <w:rFonts w:ascii="宋体" w:hAnsi="宋体" w:cs="宋体"/>
        </w:rPr>
      </w:pPr>
      <w:r>
        <w:rPr>
          <w:rFonts w:ascii="宋体" w:hAnsi="宋体" w:cs="宋体"/>
        </w:rPr>
        <w:t xml:space="preserve">1、因履行本合同引起的或与本合同有关的争议，甲、乙双方应首先通过友好协商解决，如果协商不 </w:t>
      </w:r>
      <w:r>
        <w:rPr>
          <w:rFonts w:ascii="宋体" w:hAnsi="宋体" w:cs="宋体"/>
          <w:spacing w:val="-2"/>
        </w:rPr>
        <w:t xml:space="preserve">能解决争议，则采取以下第</w:t>
      </w:r>
      <w:r>
        <w:rPr>
          <w:rFonts w:ascii="宋体" w:hAnsi="宋体" w:cs="宋体"/>
          <w:spacing w:val="-2"/>
          <w:u w:val="single"/>
        </w:rPr>
        <w:t xml:space="preserve">（2）</w:t>
      </w:r>
      <w:r>
        <w:rPr>
          <w:rFonts w:ascii="宋体" w:hAnsi="宋体" w:cs="宋体"/>
          <w:spacing w:val="-2"/>
        </w:rPr>
        <w:t xml:space="preserve">种方式解决争议：</w:t>
      </w:r>
      <w:r>
        <w:rPr>
          <w:rFonts w:ascii="宋体" w:hAnsi="宋体" w:cs="宋体"/>
        </w:rPr>
      </w:r>
      <w:r/>
    </w:p>
    <w:p>
      <w:pPr>
        <w:pStyle w:val="1011"/>
        <w:ind w:left="463"/>
        <w:spacing w:line="220" w:lineRule="auto"/>
        <w:rPr>
          <w:rFonts w:ascii="宋体" w:hAnsi="宋体" w:cs="宋体"/>
        </w:rPr>
      </w:pPr>
      <w:r>
        <w:rPr>
          <w:rFonts w:ascii="宋体" w:hAnsi="宋体" w:cs="宋体"/>
          <w:spacing w:val="-1"/>
        </w:rPr>
        <w:t xml:space="preserve">（1）向甲方所在地有管辖权的人民法院提起诉讼；</w:t>
      </w:r>
      <w:r>
        <w:rPr>
          <w:rFonts w:ascii="宋体" w:hAnsi="宋体" w:cs="宋体"/>
        </w:rPr>
      </w:r>
      <w:r/>
    </w:p>
    <w:p>
      <w:pPr>
        <w:pStyle w:val="1011"/>
        <w:ind w:left="463"/>
        <w:spacing w:before="217" w:line="221" w:lineRule="auto"/>
        <w:rPr>
          <w:rFonts w:ascii="宋体" w:hAnsi="宋体" w:cs="宋体"/>
        </w:rPr>
      </w:pPr>
      <w:r>
        <w:rPr>
          <w:rFonts w:ascii="宋体" w:hAnsi="宋体" w:cs="宋体"/>
          <w:spacing w:val="-1"/>
        </w:rPr>
        <w:t xml:space="preserve">（2）向甲方所在地仲裁委员会按其仲裁规则申请仲裁。</w:t>
      </w:r>
      <w:r>
        <w:rPr>
          <w:rFonts w:ascii="宋体" w:hAnsi="宋体" w:cs="宋体"/>
        </w:rPr>
      </w:r>
      <w:r/>
    </w:p>
    <w:p>
      <w:pPr>
        <w:pStyle w:val="1011"/>
        <w:ind w:left="459"/>
        <w:spacing w:before="217" w:line="221" w:lineRule="auto"/>
        <w:rPr>
          <w:rFonts w:ascii="宋体" w:hAnsi="宋体" w:cs="宋体"/>
        </w:rPr>
      </w:pPr>
      <w:r>
        <w:rPr>
          <w:rFonts w:ascii="宋体" w:hAnsi="宋体" w:cs="宋体"/>
          <w:spacing w:val="-2"/>
        </w:rPr>
        <w:t xml:space="preserve">2、在仲裁期间，本合同应继续履行。</w:t>
      </w:r>
      <w:r>
        <w:rPr>
          <w:rFonts w:ascii="宋体" w:hAnsi="宋体" w:cs="宋体"/>
        </w:rPr>
      </w:r>
      <w:r/>
    </w:p>
    <w:p>
      <w:pPr>
        <w:pStyle w:val="1011"/>
        <w:ind w:left="460"/>
        <w:spacing w:before="217" w:line="222" w:lineRule="auto"/>
        <w:rPr>
          <w:rFonts w:ascii="宋体" w:hAnsi="宋体" w:cs="宋体"/>
        </w:rPr>
      </w:pPr>
      <w:r>
        <w:rPr>
          <w:rFonts w:ascii="宋体" w:hAnsi="宋体" w:cs="宋体"/>
          <w:b/>
          <w:bCs/>
          <w:spacing w:val="-3"/>
        </w:rPr>
        <w:t xml:space="preserve">十四、合同生效及其它</w:t>
      </w:r>
      <w:r>
        <w:rPr>
          <w:rFonts w:ascii="宋体" w:hAnsi="宋体" w:cs="宋体"/>
        </w:rPr>
      </w:r>
      <w:r/>
    </w:p>
    <w:p>
      <w:pPr>
        <w:pStyle w:val="1011"/>
        <w:ind w:right="24"/>
        <w:spacing w:before="215" w:line="360" w:lineRule="auto"/>
        <w:rPr>
          <w:rFonts w:ascii="宋体" w:hAnsi="宋体" w:cs="宋体"/>
        </w:rPr>
      </w:pPr>
      <w:r>
        <w:rPr>
          <w:rFonts w:ascii="宋体" w:hAnsi="宋体" w:cs="宋体"/>
          <w:spacing w:val="2"/>
        </w:rPr>
        <w:t xml:space="preserve">1、本合同经采购代理机构盖章，并经甲乙</w:t>
      </w:r>
      <w:r>
        <w:rPr>
          <w:rFonts w:ascii="宋体" w:hAnsi="宋体" w:cs="宋体"/>
          <w:spacing w:val="1"/>
        </w:rPr>
        <w:t xml:space="preserve">双方签字并加盖公章后即生效，同时经政府采购监督管理</w:t>
      </w:r>
      <w:r>
        <w:rPr>
          <w:rFonts w:ascii="宋体" w:hAnsi="宋体" w:cs="宋体"/>
          <w:spacing w:val="-2"/>
        </w:rPr>
        <w:t xml:space="preserve">部门备案。</w:t>
      </w:r>
      <w:r>
        <w:rPr>
          <w:rFonts w:ascii="宋体" w:hAnsi="宋体" w:cs="宋体"/>
        </w:rPr>
      </w:r>
      <w:r/>
    </w:p>
    <w:p>
      <w:pPr>
        <w:pStyle w:val="1011"/>
        <w:ind w:left="41" w:right="24" w:firstLine="418"/>
        <w:spacing w:before="217" w:line="316" w:lineRule="auto"/>
        <w:rPr>
          <w:rFonts w:ascii="宋体" w:hAnsi="宋体" w:cs="宋体"/>
        </w:rPr>
      </w:pPr>
      <w:r>
        <w:rPr>
          <w:rFonts w:ascii="宋体" w:hAnsi="宋体" w:cs="宋体"/>
          <w:spacing w:val="1"/>
        </w:rPr>
        <w:t xml:space="preserve">2、本合同一式</w:t>
      </w:r>
      <w:r>
        <w:rPr>
          <w:rFonts w:ascii="宋体" w:hAnsi="宋体" w:cs="宋体"/>
          <w:spacing w:val="1"/>
          <w:u w:val="single"/>
        </w:rPr>
        <w:t xml:space="preserve">捌</w:t>
      </w:r>
      <w:r>
        <w:rPr>
          <w:rFonts w:ascii="宋体" w:hAnsi="宋体" w:cs="宋体"/>
          <w:spacing w:val="1"/>
        </w:rPr>
        <w:t xml:space="preserve">份，具有同等法律效力，甲、乙双方各执</w:t>
      </w:r>
      <w:r>
        <w:rPr>
          <w:rFonts w:ascii="宋体" w:hAnsi="宋体" w:cs="宋体"/>
          <w:spacing w:val="1"/>
          <w:u w:val="single"/>
        </w:rPr>
        <w:t xml:space="preserve">叁</w:t>
      </w:r>
      <w:r>
        <w:rPr>
          <w:rFonts w:ascii="宋体" w:hAnsi="宋体" w:cs="宋体"/>
          <w:spacing w:val="1"/>
        </w:rPr>
        <w:t xml:space="preserve">份，采购代</w:t>
      </w:r>
      <w:r>
        <w:rPr>
          <w:rFonts w:ascii="宋体" w:hAnsi="宋体" w:cs="宋体"/>
        </w:rPr>
        <w:t xml:space="preserve">理机构</w:t>
      </w:r>
      <w:r>
        <w:rPr>
          <w:rFonts w:ascii="宋体" w:hAnsi="宋体" w:cs="宋体"/>
          <w:u w:val="single"/>
        </w:rPr>
        <w:t xml:space="preserve">壹</w:t>
      </w:r>
      <w:r>
        <w:rPr>
          <w:rFonts w:ascii="宋体" w:hAnsi="宋体" w:cs="宋体"/>
        </w:rPr>
        <w:t xml:space="preserve">份，政府采购监督 </w:t>
      </w:r>
      <w:r>
        <w:rPr>
          <w:rFonts w:ascii="宋体" w:hAnsi="宋体" w:cs="宋体"/>
          <w:spacing w:val="-4"/>
        </w:rPr>
        <w:t xml:space="preserve">管理部门</w:t>
      </w:r>
      <w:r>
        <w:rPr>
          <w:rFonts w:ascii="宋体" w:hAnsi="宋体" w:cs="宋体"/>
          <w:spacing w:val="-4"/>
          <w:u w:val="single"/>
        </w:rPr>
        <w:t xml:space="preserve">壹</w:t>
      </w:r>
      <w:r>
        <w:rPr>
          <w:rFonts w:ascii="宋体" w:hAnsi="宋体" w:cs="宋体"/>
          <w:spacing w:val="-4"/>
        </w:rPr>
        <w:t xml:space="preserve">份。</w:t>
      </w:r>
      <w:r>
        <w:rPr>
          <w:rFonts w:ascii="宋体" w:hAnsi="宋体" w:cs="宋体"/>
        </w:rPr>
      </w:r>
      <w:r/>
    </w:p>
    <w:p>
      <w:pPr>
        <w:pStyle w:val="1011"/>
        <w:ind w:left="35" w:right="24" w:firstLine="425"/>
        <w:spacing w:before="215" w:line="364" w:lineRule="auto"/>
        <w:rPr>
          <w:rFonts w:ascii="宋体" w:hAnsi="宋体" w:cs="宋体"/>
        </w:rPr>
      </w:pPr>
      <w:r>
        <w:rPr>
          <w:rFonts w:ascii="宋体" w:hAnsi="宋体" w:cs="宋体"/>
          <w:spacing w:val="2"/>
        </w:rPr>
        <w:t xml:space="preserve">3、本合同未尽事宜应按《中华人民共和国民法典》、《中华人民共</w:t>
      </w:r>
      <w:r>
        <w:rPr>
          <w:rFonts w:ascii="宋体" w:hAnsi="宋体" w:cs="宋体"/>
          <w:spacing w:val="1"/>
        </w:rPr>
        <w:t xml:space="preserve">和国政府采购法》以及其同相关</w:t>
      </w:r>
      <w:r>
        <w:rPr>
          <w:rFonts w:ascii="宋体" w:hAnsi="宋体" w:cs="宋体"/>
        </w:rPr>
        <w:t xml:space="preserve">法律、法规之规定解释。在执行过程中双方在不</w:t>
      </w:r>
      <w:r>
        <w:rPr>
          <w:rFonts w:ascii="宋体" w:hAnsi="宋体" w:cs="宋体"/>
          <w:spacing w:val="-1"/>
        </w:rPr>
        <w:t xml:space="preserve">违背本合同和采购文件的原则下协商解决，协商结果以书</w:t>
      </w:r>
      <w:r>
        <w:rPr>
          <w:rFonts w:ascii="宋体" w:hAnsi="宋体" w:cs="宋体"/>
        </w:rPr>
        <w:t xml:space="preserve">面形式盖章记录在案，作为本合同的附件，与本</w:t>
      </w:r>
      <w:r>
        <w:rPr>
          <w:rFonts w:ascii="宋体" w:hAnsi="宋体" w:cs="宋体"/>
          <w:spacing w:val="-1"/>
        </w:rPr>
        <w:t xml:space="preserve">合同具有同等效力，但须提交政府采购监督管理部门和采购代理机构备存。</w:t>
      </w:r>
      <w:r>
        <w:rPr>
          <w:rFonts w:ascii="宋体" w:hAnsi="宋体" w:cs="宋体"/>
        </w:rPr>
      </w:r>
      <w:r/>
    </w:p>
    <w:p>
      <w:pPr>
        <w:pStyle w:val="1182"/>
        <w:spacing w:line="306" w:lineRule="auto"/>
      </w:pPr>
      <w:r/>
      <w:r/>
    </w:p>
    <w:p>
      <w:pPr>
        <w:pStyle w:val="1182"/>
        <w:spacing w:line="306" w:lineRule="auto"/>
      </w:pPr>
      <w:r/>
      <w:r/>
    </w:p>
    <w:p>
      <w:pPr>
        <w:pStyle w:val="1011"/>
        <w:ind w:left="589"/>
        <w:spacing w:before="68" w:line="221" w:lineRule="auto"/>
        <w:rPr>
          <w:rFonts w:ascii="宋体" w:hAnsi="宋体" w:cs="宋体"/>
        </w:rPr>
      </w:pPr>
      <w:r>
        <w:rPr>
          <w:rFonts w:ascii="宋体" w:hAnsi="宋体" w:cs="宋体"/>
          <w:spacing w:val="-6"/>
        </w:rPr>
        <w:t xml:space="preserve">甲方（公章）：乙方（公章）：</w:t>
      </w:r>
      <w:r>
        <w:rPr>
          <w:rFonts w:ascii="宋体" w:hAnsi="宋体" w:cs="宋体"/>
        </w:rPr>
      </w:r>
      <w:r/>
    </w:p>
    <w:p>
      <w:pPr>
        <w:pStyle w:val="1011"/>
        <w:ind w:left="589"/>
        <w:spacing w:before="217" w:line="221" w:lineRule="auto"/>
        <w:rPr>
          <w:rFonts w:ascii="宋体" w:hAnsi="宋体" w:cs="宋体"/>
        </w:rPr>
      </w:pPr>
      <w:r>
        <w:rPr>
          <w:rFonts w:ascii="宋体" w:hAnsi="宋体" w:cs="宋体"/>
          <w:spacing w:val="-9"/>
        </w:rPr>
        <w:t xml:space="preserve">甲方代表：乙方代表：</w:t>
      </w:r>
      <w:r>
        <w:rPr>
          <w:rFonts w:ascii="宋体" w:hAnsi="宋体" w:cs="宋体"/>
        </w:rPr>
      </w:r>
      <w:r/>
    </w:p>
    <w:p>
      <w:pPr>
        <w:pStyle w:val="1011"/>
        <w:ind w:left="598"/>
        <w:spacing w:before="216" w:line="221" w:lineRule="auto"/>
        <w:rPr>
          <w:rFonts w:ascii="宋体" w:hAnsi="宋体" w:cs="宋体"/>
        </w:rPr>
      </w:pPr>
      <w:r>
        <w:rPr>
          <w:rFonts w:ascii="宋体" w:hAnsi="宋体" w:cs="宋体"/>
          <w:spacing w:val="-18"/>
        </w:rPr>
        <w:t xml:space="preserve">日期：年月日日期：年月日</w:t>
      </w:r>
      <w:r>
        <w:rPr>
          <w:rFonts w:ascii="宋体" w:hAnsi="宋体" w:cs="宋体"/>
        </w:rPr>
      </w:r>
      <w:r/>
    </w:p>
    <w:p>
      <w:pPr>
        <w:pStyle w:val="1011"/>
        <w:spacing w:line="413" w:lineRule="auto"/>
        <w:rPr>
          <w:rFonts w:ascii="宋体" w:hAnsi="宋体" w:cs="宋体"/>
          <w:sz w:val="20"/>
          <w:szCs w:val="20"/>
        </w:rPr>
      </w:pPr>
      <w:r>
        <w:rPr>
          <w:rFonts w:ascii="宋体" w:hAnsi="宋体" w:cs="宋体"/>
          <w:sz w:val="20"/>
          <w:szCs w:val="20"/>
        </w:rPr>
      </w:r>
      <w:r/>
    </w:p>
    <w:p>
      <w:pPr>
        <w:pStyle w:val="1011"/>
        <w:spacing w:line="413" w:lineRule="auto"/>
        <w:rPr>
          <w:rFonts w:ascii="宋体" w:hAnsi="宋体" w:cs="宋体"/>
          <w:sz w:val="20"/>
          <w:szCs w:val="20"/>
        </w:rPr>
      </w:pPr>
      <w:r>
        <w:rPr>
          <w:rFonts w:ascii="宋体" w:hAnsi="宋体" w:cs="宋体"/>
          <w:sz w:val="20"/>
          <w:szCs w:val="20"/>
        </w:rPr>
      </w:r>
      <w:r/>
    </w:p>
    <w:p>
      <w:pPr>
        <w:pStyle w:val="1011"/>
        <w:spacing w:line="413" w:lineRule="auto"/>
        <w:rPr>
          <w:rFonts w:ascii="宋体" w:hAnsi="宋体" w:cs="宋体"/>
          <w:sz w:val="20"/>
          <w:szCs w:val="20"/>
        </w:rPr>
      </w:pPr>
      <w:r>
        <w:rPr>
          <w:rFonts w:ascii="宋体" w:hAnsi="宋体" w:cs="宋体"/>
          <w:sz w:val="20"/>
          <w:szCs w:val="20"/>
        </w:rPr>
      </w:r>
      <w:r/>
    </w:p>
    <w:p>
      <w:pPr>
        <w:pStyle w:val="1011"/>
        <w:spacing w:line="413" w:lineRule="auto"/>
        <w:rPr>
          <w:rFonts w:ascii="宋体" w:hAnsi="宋体" w:cs="宋体"/>
          <w:sz w:val="20"/>
          <w:szCs w:val="20"/>
        </w:rPr>
      </w:pPr>
      <w:r>
        <w:rPr>
          <w:rFonts w:ascii="宋体" w:hAnsi="宋体" w:cs="宋体"/>
          <w:sz w:val="20"/>
          <w:szCs w:val="20"/>
        </w:rPr>
      </w:r>
      <w:r/>
    </w:p>
    <w:p>
      <w:pPr>
        <w:pStyle w:val="1011"/>
        <w:spacing w:line="413" w:lineRule="auto"/>
        <w:rPr>
          <w:rFonts w:ascii="宋体" w:hAnsi="宋体" w:cs="宋体"/>
          <w:sz w:val="20"/>
          <w:szCs w:val="20"/>
        </w:rPr>
      </w:pPr>
      <w:r>
        <w:rPr>
          <w:rFonts w:ascii="宋体" w:hAnsi="宋体" w:cs="宋体"/>
          <w:sz w:val="20"/>
          <w:szCs w:val="20"/>
        </w:rPr>
      </w:r>
      <w:r/>
    </w:p>
    <w:p>
      <w:pPr>
        <w:pStyle w:val="1011"/>
        <w:spacing w:line="413" w:lineRule="auto"/>
        <w:rPr>
          <w:rFonts w:ascii="宋体" w:hAnsi="宋体" w:cs="宋体"/>
          <w:sz w:val="20"/>
          <w:szCs w:val="20"/>
        </w:rPr>
      </w:pPr>
      <w:r>
        <w:rPr>
          <w:rFonts w:ascii="宋体" w:hAnsi="宋体" w:cs="宋体"/>
          <w:sz w:val="20"/>
          <w:szCs w:val="20"/>
        </w:rPr>
      </w:r>
      <w:r/>
    </w:p>
    <w:p>
      <w:pPr>
        <w:pStyle w:val="1011"/>
        <w:spacing w:line="413" w:lineRule="auto"/>
        <w:rPr>
          <w:rFonts w:ascii="宋体" w:hAnsi="宋体" w:cs="宋体"/>
          <w:sz w:val="20"/>
          <w:szCs w:val="20"/>
        </w:rPr>
      </w:pPr>
      <w:r>
        <w:rPr>
          <w:rFonts w:ascii="宋体" w:hAnsi="宋体" w:cs="宋体"/>
          <w:sz w:val="20"/>
          <w:szCs w:val="20"/>
        </w:rPr>
      </w:r>
      <w:r/>
    </w:p>
    <w:p>
      <w:pPr>
        <w:pStyle w:val="1011"/>
        <w:spacing w:line="413" w:lineRule="auto"/>
        <w:rPr>
          <w:rFonts w:ascii="宋体" w:hAnsi="宋体" w:cs="宋体"/>
          <w:sz w:val="20"/>
          <w:szCs w:val="20"/>
        </w:rPr>
      </w:pPr>
      <w:r>
        <w:rPr>
          <w:rFonts w:ascii="宋体" w:hAnsi="宋体" w:cs="宋体"/>
          <w:sz w:val="20"/>
          <w:szCs w:val="20"/>
        </w:rPr>
      </w:r>
      <w:r/>
    </w:p>
    <w:p>
      <w:pPr>
        <w:pStyle w:val="1011"/>
        <w:spacing w:line="413" w:lineRule="auto"/>
        <w:rPr>
          <w:rFonts w:ascii="宋体" w:hAnsi="宋体" w:cs="宋体"/>
          <w:sz w:val="20"/>
          <w:szCs w:val="20"/>
        </w:rPr>
      </w:pPr>
      <w:r>
        <w:rPr>
          <w:rFonts w:ascii="宋体" w:hAnsi="宋体" w:cs="宋体"/>
          <w:sz w:val="20"/>
          <w:szCs w:val="20"/>
        </w:rPr>
      </w:r>
      <w:r/>
    </w:p>
    <w:p>
      <w:pPr>
        <w:pStyle w:val="1011"/>
        <w:spacing w:line="413" w:lineRule="auto"/>
        <w:rPr>
          <w:rFonts w:ascii="宋体" w:hAnsi="宋体" w:cs="宋体"/>
          <w:sz w:val="20"/>
          <w:szCs w:val="20"/>
        </w:rPr>
      </w:pPr>
      <w:r>
        <w:rPr>
          <w:rFonts w:ascii="宋体" w:hAnsi="宋体" w:cs="宋体"/>
          <w:sz w:val="20"/>
          <w:szCs w:val="20"/>
        </w:rPr>
      </w:r>
      <w:r/>
    </w:p>
    <w:p>
      <w:pPr>
        <w:pStyle w:val="1011"/>
        <w:spacing w:line="413" w:lineRule="auto"/>
        <w:rPr>
          <w:rFonts w:ascii="宋体" w:hAnsi="宋体" w:cs="宋体"/>
          <w:sz w:val="20"/>
          <w:szCs w:val="20"/>
        </w:rPr>
      </w:pPr>
      <w:r>
        <w:rPr>
          <w:rFonts w:ascii="宋体" w:hAnsi="宋体" w:cs="宋体"/>
          <w:sz w:val="20"/>
          <w:szCs w:val="20"/>
        </w:rPr>
      </w:r>
      <w:r/>
    </w:p>
    <w:p>
      <w:pPr>
        <w:pStyle w:val="1011"/>
        <w:spacing w:line="413" w:lineRule="auto"/>
        <w:rPr>
          <w:rFonts w:ascii="宋体" w:hAnsi="宋体" w:cs="宋体"/>
          <w:sz w:val="20"/>
          <w:szCs w:val="20"/>
        </w:rPr>
      </w:pPr>
      <w:r>
        <w:rPr>
          <w:rFonts w:ascii="宋体" w:hAnsi="宋体" w:cs="宋体"/>
          <w:sz w:val="20"/>
          <w:szCs w:val="20"/>
        </w:rPr>
      </w:r>
      <w:r/>
    </w:p>
    <w:p>
      <w:pPr>
        <w:pStyle w:val="1011"/>
        <w:spacing w:line="413" w:lineRule="auto"/>
        <w:rPr>
          <w:rFonts w:ascii="宋体" w:hAnsi="宋体" w:cs="宋体"/>
          <w:sz w:val="20"/>
          <w:szCs w:val="20"/>
        </w:rPr>
      </w:pPr>
      <w:r>
        <w:rPr>
          <w:rFonts w:ascii="宋体" w:hAnsi="宋体" w:cs="宋体"/>
          <w:sz w:val="20"/>
          <w:szCs w:val="20"/>
        </w:rPr>
      </w:r>
      <w:r/>
    </w:p>
    <w:p>
      <w:pPr>
        <w:pStyle w:val="1011"/>
        <w:spacing w:line="413" w:lineRule="auto"/>
        <w:rPr>
          <w:rFonts w:ascii="宋体" w:hAnsi="宋体" w:cs="宋体"/>
          <w:sz w:val="20"/>
          <w:szCs w:val="20"/>
        </w:rPr>
      </w:pPr>
      <w:r>
        <w:rPr>
          <w:rFonts w:ascii="宋体" w:hAnsi="宋体" w:cs="宋体"/>
          <w:sz w:val="20"/>
          <w:szCs w:val="20"/>
        </w:rPr>
      </w:r>
      <w:r/>
    </w:p>
    <w:p>
      <w:pPr>
        <w:pStyle w:val="1011"/>
        <w:spacing w:line="413" w:lineRule="auto"/>
        <w:rPr>
          <w:rFonts w:ascii="宋体" w:hAnsi="宋体" w:cs="宋体"/>
          <w:sz w:val="20"/>
          <w:szCs w:val="20"/>
        </w:rPr>
      </w:pPr>
      <w:r>
        <w:rPr>
          <w:rFonts w:ascii="宋体" w:hAnsi="宋体" w:cs="宋体"/>
          <w:sz w:val="20"/>
          <w:szCs w:val="20"/>
        </w:rPr>
      </w:r>
      <w:r/>
    </w:p>
    <w:p>
      <w:pPr>
        <w:pStyle w:val="1011"/>
        <w:spacing w:line="413" w:lineRule="auto"/>
        <w:rPr>
          <w:rFonts w:ascii="宋体" w:hAnsi="宋体" w:cs="宋体"/>
          <w:spacing w:val="-1"/>
        </w:rPr>
      </w:pPr>
      <w:r>
        <w:rPr>
          <w:rFonts w:hint="eastAsia" w:ascii="宋体" w:hAnsi="宋体" w:cs="宋体"/>
          <w:spacing w:val="-1"/>
        </w:rPr>
        <w:t xml:space="preserve">廉政责任书格式</w:t>
      </w:r>
      <w:r>
        <w:rPr>
          <w:rFonts w:ascii="宋体" w:hAnsi="宋体" w:cs="宋体"/>
          <w:spacing w:val="-1"/>
        </w:rPr>
      </w:r>
      <w:r/>
    </w:p>
    <w:p>
      <w:pPr>
        <w:pStyle w:val="1011"/>
        <w:spacing w:line="413" w:lineRule="auto"/>
        <w:rPr>
          <w:rFonts w:ascii="宋体" w:hAnsi="宋体" w:cs="宋体"/>
          <w:spacing w:val="-1"/>
        </w:rPr>
      </w:pPr>
      <w:r>
        <w:rPr>
          <w:rFonts w:ascii="宋体" w:hAnsi="宋体" w:cs="宋体"/>
          <w:spacing w:val="-1"/>
        </w:rPr>
      </w:r>
      <w:r/>
    </w:p>
    <w:p>
      <w:pPr>
        <w:pStyle w:val="1011"/>
        <w:jc w:val="center"/>
        <w:spacing w:line="413" w:lineRule="auto"/>
        <w:rPr>
          <w:rFonts w:ascii="宋体" w:hAnsi="宋体" w:cs="宋体"/>
          <w:spacing w:val="-1"/>
        </w:rPr>
      </w:pPr>
      <w:r>
        <w:rPr>
          <w:rFonts w:hint="eastAsia" w:ascii="宋体" w:hAnsi="宋体" w:cs="宋体"/>
          <w:spacing w:val="-1"/>
        </w:rPr>
        <w:t xml:space="preserve">廉政协议</w:t>
      </w:r>
      <w:r>
        <w:rPr>
          <w:rFonts w:ascii="宋体" w:hAnsi="宋体" w:cs="宋体"/>
          <w:spacing w:val="-1"/>
        </w:rPr>
      </w:r>
      <w:r/>
    </w:p>
    <w:p>
      <w:pPr>
        <w:pStyle w:val="1011"/>
        <w:spacing w:line="413" w:lineRule="auto"/>
        <w:rPr>
          <w:rFonts w:ascii="宋体" w:hAnsi="宋体" w:cs="宋体"/>
          <w:spacing w:val="-1"/>
        </w:rPr>
      </w:pPr>
      <w:r>
        <w:rPr>
          <w:rFonts w:ascii="宋体" w:hAnsi="宋体" w:cs="宋体"/>
          <w:spacing w:val="-1"/>
        </w:rPr>
      </w:r>
      <w:r/>
    </w:p>
    <w:p>
      <w:pPr>
        <w:pStyle w:val="1011"/>
        <w:spacing w:line="413" w:lineRule="auto"/>
        <w:rPr>
          <w:rFonts w:ascii="宋体" w:hAnsi="宋体" w:cs="宋体"/>
          <w:spacing w:val="-1"/>
        </w:rPr>
      </w:pPr>
      <w:r>
        <w:rPr>
          <w:rFonts w:hint="eastAsia" w:ascii="宋体" w:hAnsi="宋体" w:cs="宋体"/>
          <w:spacing w:val="-1"/>
        </w:rPr>
        <w:t xml:space="preserve">一、甲乙双方约定</w:t>
      </w:r>
      <w:r>
        <w:rPr>
          <w:rFonts w:ascii="宋体" w:hAnsi="宋体" w:cs="宋体"/>
          <w:spacing w:val="-1"/>
        </w:rPr>
      </w:r>
      <w:r/>
    </w:p>
    <w:p>
      <w:pPr>
        <w:pStyle w:val="1011"/>
        <w:spacing w:line="413" w:lineRule="auto"/>
        <w:rPr>
          <w:rFonts w:ascii="宋体" w:hAnsi="宋体" w:cs="宋体"/>
          <w:spacing w:val="-1"/>
        </w:rPr>
      </w:pPr>
      <w:r>
        <w:rPr>
          <w:rFonts w:hint="eastAsia" w:ascii="宋体" w:hAnsi="宋体" w:cs="宋体"/>
          <w:spacing w:val="-1"/>
        </w:rPr>
        <w:t xml:space="preserve">1、甲乙双方应共同遵守国家和省、市、行业主管部门关于加强基础设施建设管理以及党风廉政建设的各项规定。</w:t>
      </w:r>
      <w:r>
        <w:rPr>
          <w:rFonts w:ascii="宋体" w:hAnsi="宋体" w:cs="宋体"/>
          <w:spacing w:val="-1"/>
        </w:rPr>
      </w:r>
      <w:r/>
    </w:p>
    <w:p>
      <w:pPr>
        <w:pStyle w:val="1011"/>
        <w:spacing w:line="413" w:lineRule="auto"/>
        <w:rPr>
          <w:rFonts w:ascii="宋体" w:hAnsi="宋体" w:cs="宋体"/>
          <w:spacing w:val="-1"/>
        </w:rPr>
      </w:pPr>
      <w:r>
        <w:rPr>
          <w:rFonts w:hint="eastAsia" w:ascii="宋体" w:hAnsi="宋体" w:cs="宋体"/>
          <w:spacing w:val="-1"/>
        </w:rPr>
        <w:t xml:space="preserve">2、甲乙双方应认真执行约定的合同文件，自觉按合同办事</w:t>
      </w:r>
      <w:r>
        <w:rPr>
          <w:rFonts w:ascii="宋体" w:hAnsi="宋体" w:cs="宋体"/>
          <w:spacing w:val="-1"/>
        </w:rPr>
      </w:r>
      <w:r/>
    </w:p>
    <w:p>
      <w:pPr>
        <w:pStyle w:val="1011"/>
        <w:spacing w:line="413" w:lineRule="auto"/>
        <w:rPr>
          <w:rFonts w:ascii="宋体" w:hAnsi="宋体" w:cs="宋体"/>
          <w:spacing w:val="-1"/>
        </w:rPr>
      </w:pPr>
      <w:r>
        <w:rPr>
          <w:rFonts w:hint="eastAsia" w:ascii="宋体" w:hAnsi="宋体" w:cs="宋体"/>
          <w:spacing w:val="-1"/>
        </w:rPr>
        <w:t xml:space="preserve">3、除非法律认定的商业秘密和合同文件另有规定之外，甲乙双方的业务活动应坚持公开、公正、透明的原则，严禁搞损害国家和集体利益、违反采购管理规章制度的不正当交易。</w:t>
      </w:r>
      <w:r>
        <w:rPr>
          <w:rFonts w:ascii="宋体" w:hAnsi="宋体" w:cs="宋体"/>
          <w:spacing w:val="-1"/>
        </w:rPr>
      </w:r>
      <w:r/>
    </w:p>
    <w:p>
      <w:pPr>
        <w:pStyle w:val="1011"/>
        <w:spacing w:line="413" w:lineRule="auto"/>
        <w:rPr>
          <w:rFonts w:ascii="宋体" w:hAnsi="宋体" w:cs="宋体"/>
          <w:spacing w:val="-1"/>
        </w:rPr>
      </w:pPr>
      <w:r>
        <w:rPr>
          <w:rFonts w:hint="eastAsia" w:ascii="宋体" w:hAnsi="宋体" w:cs="宋体"/>
          <w:spacing w:val="-1"/>
        </w:rPr>
        <w:t xml:space="preserve">4、甲乙双方应加强对本方人员的廉政监督，建立和健全廉政制度，认真查处本方的违法违纪行为。</w:t>
      </w:r>
      <w:r>
        <w:rPr>
          <w:rFonts w:ascii="宋体" w:hAnsi="宋体" w:cs="宋体"/>
          <w:spacing w:val="-1"/>
        </w:rPr>
      </w:r>
      <w:r/>
    </w:p>
    <w:p>
      <w:pPr>
        <w:pStyle w:val="1011"/>
        <w:ind w:right="-451"/>
        <w:spacing w:line="413" w:lineRule="auto"/>
        <w:rPr>
          <w:rFonts w:ascii="宋体" w:hAnsi="宋体" w:cs="宋体"/>
          <w:spacing w:val="-1"/>
        </w:rPr>
      </w:pPr>
      <w:r>
        <w:rPr>
          <w:rFonts w:hint="eastAsia" w:ascii="宋体" w:hAnsi="宋体" w:cs="宋体"/>
          <w:spacing w:val="-1"/>
        </w:rPr>
        <w:t xml:space="preserve">5、甲乙双方有对本方人员开展廉政告知、廉政教育和职业道德教育的义务。</w:t>
      </w:r>
      <w:r>
        <w:rPr>
          <w:rFonts w:ascii="宋体" w:hAnsi="宋体" w:cs="宋体"/>
          <w:spacing w:val="-1"/>
        </w:rPr>
      </w:r>
      <w:r/>
    </w:p>
    <w:p>
      <w:pPr>
        <w:pStyle w:val="1011"/>
        <w:spacing w:line="413" w:lineRule="auto"/>
        <w:rPr>
          <w:rFonts w:ascii="宋体" w:hAnsi="宋体" w:cs="宋体"/>
          <w:spacing w:val="-1"/>
        </w:rPr>
      </w:pPr>
      <w:r>
        <w:rPr>
          <w:rFonts w:hint="eastAsia" w:ascii="宋体" w:hAnsi="宋体" w:cs="宋体"/>
          <w:spacing w:val="-1"/>
        </w:rPr>
        <w:t xml:space="preserve">6、甲乙双方如发现对方在业务活动中有不廉洁行为，有及时提醒对方并督促其纠正的权利和义务。</w:t>
      </w:r>
      <w:r>
        <w:rPr>
          <w:rFonts w:ascii="宋体" w:hAnsi="宋体" w:cs="宋体"/>
          <w:spacing w:val="-1"/>
        </w:rPr>
      </w:r>
      <w:r/>
    </w:p>
    <w:p>
      <w:pPr>
        <w:pStyle w:val="1011"/>
        <w:spacing w:line="413" w:lineRule="auto"/>
        <w:rPr>
          <w:rFonts w:ascii="宋体" w:hAnsi="宋体" w:cs="宋体"/>
          <w:spacing w:val="-1"/>
        </w:rPr>
      </w:pPr>
      <w:r>
        <w:rPr>
          <w:rFonts w:hint="eastAsia" w:ascii="宋体" w:hAnsi="宋体" w:cs="宋体"/>
          <w:spacing w:val="-1"/>
        </w:rPr>
        <w:t xml:space="preserve">二、甲方在廉政建设方面的责任</w:t>
      </w:r>
      <w:r>
        <w:rPr>
          <w:rFonts w:ascii="宋体" w:hAnsi="宋体" w:cs="宋体"/>
          <w:spacing w:val="-1"/>
        </w:rPr>
      </w:r>
      <w:r/>
    </w:p>
    <w:p>
      <w:pPr>
        <w:pStyle w:val="1011"/>
        <w:spacing w:line="413" w:lineRule="auto"/>
        <w:rPr>
          <w:rFonts w:ascii="宋体" w:hAnsi="宋体" w:cs="宋体"/>
          <w:spacing w:val="-1"/>
        </w:rPr>
      </w:pPr>
      <w:r>
        <w:rPr>
          <w:rFonts w:hint="eastAsia" w:ascii="宋体" w:hAnsi="宋体" w:cs="宋体"/>
          <w:spacing w:val="-1"/>
        </w:rPr>
        <w:t xml:space="preserve">1、甲方及其工作人员不得以任何形式向乙方索要和收受回扣。</w:t>
      </w:r>
      <w:r>
        <w:rPr>
          <w:rFonts w:ascii="宋体" w:hAnsi="宋体" w:cs="宋体"/>
          <w:spacing w:val="-1"/>
        </w:rPr>
      </w:r>
      <w:r/>
    </w:p>
    <w:p>
      <w:pPr>
        <w:pStyle w:val="1011"/>
        <w:spacing w:line="413" w:lineRule="auto"/>
        <w:rPr>
          <w:rFonts w:ascii="宋体" w:hAnsi="宋体" w:cs="宋体"/>
          <w:spacing w:val="-1"/>
        </w:rPr>
      </w:pPr>
      <w:r>
        <w:rPr>
          <w:rFonts w:hint="eastAsia" w:ascii="宋体" w:hAnsi="宋体" w:cs="宋体"/>
          <w:spacing w:val="-1"/>
        </w:rPr>
        <w:t xml:space="preserve">2、甲方及其工作人员不得接受乙方的礼金、有价证券和贵重物品，不得在乙方报销任何应由个人支付的费用。</w:t>
      </w:r>
      <w:r>
        <w:rPr>
          <w:rFonts w:ascii="宋体" w:hAnsi="宋体" w:cs="宋体"/>
          <w:spacing w:val="-1"/>
        </w:rPr>
      </w:r>
      <w:r/>
    </w:p>
    <w:p>
      <w:pPr>
        <w:pStyle w:val="1011"/>
        <w:spacing w:line="413" w:lineRule="auto"/>
        <w:rPr>
          <w:rFonts w:ascii="宋体" w:hAnsi="宋体" w:cs="宋体"/>
          <w:spacing w:val="-1"/>
        </w:rPr>
      </w:pPr>
      <w:r>
        <w:rPr>
          <w:rFonts w:hint="eastAsia" w:ascii="宋体" w:hAnsi="宋体" w:cs="宋体"/>
          <w:spacing w:val="-1"/>
        </w:rPr>
        <w:t xml:space="preserve">3、甲方工作人员不得参加可能对公正执行公务有影响的宴请和娱乐、旅游活动。</w:t>
      </w:r>
      <w:r>
        <w:rPr>
          <w:rFonts w:ascii="宋体" w:hAnsi="宋体" w:cs="宋体"/>
          <w:spacing w:val="-1"/>
        </w:rPr>
      </w:r>
      <w:r/>
    </w:p>
    <w:p>
      <w:pPr>
        <w:pStyle w:val="1011"/>
        <w:spacing w:line="413" w:lineRule="auto"/>
        <w:rPr>
          <w:rFonts w:ascii="宋体" w:hAnsi="宋体" w:cs="宋体"/>
          <w:spacing w:val="-1"/>
        </w:rPr>
      </w:pPr>
      <w:r>
        <w:rPr>
          <w:rFonts w:hint="eastAsia" w:ascii="宋体" w:hAnsi="宋体" w:cs="宋体"/>
          <w:spacing w:val="-1"/>
        </w:rPr>
        <w:t xml:space="preserve">4、甲方及其工作人员不得要求或者接受乙方为其住房装修、婚丧嫁娶、家属子女的工作安排以及出国等提供方便。</w:t>
      </w:r>
      <w:r>
        <w:rPr>
          <w:rFonts w:ascii="宋体" w:hAnsi="宋体" w:cs="宋体"/>
          <w:spacing w:val="-1"/>
        </w:rPr>
      </w:r>
      <w:r/>
    </w:p>
    <w:p>
      <w:pPr>
        <w:pStyle w:val="1011"/>
        <w:spacing w:line="413" w:lineRule="auto"/>
        <w:rPr>
          <w:rFonts w:ascii="宋体" w:hAnsi="宋体" w:cs="宋体"/>
          <w:spacing w:val="-1"/>
        </w:rPr>
      </w:pPr>
      <w:r>
        <w:rPr>
          <w:rFonts w:hint="eastAsia" w:ascii="宋体" w:hAnsi="宋体" w:cs="宋体"/>
          <w:spacing w:val="-1"/>
        </w:rPr>
        <w:t xml:space="preserve">5、甲方工作人员不得在家里或宿舍接待乙方有关项目事项的询访。</w:t>
      </w:r>
      <w:r>
        <w:rPr>
          <w:rFonts w:ascii="宋体" w:hAnsi="宋体" w:cs="宋体"/>
          <w:spacing w:val="-1"/>
        </w:rPr>
      </w:r>
      <w:r/>
    </w:p>
    <w:p>
      <w:pPr>
        <w:pStyle w:val="1011"/>
        <w:spacing w:line="413" w:lineRule="auto"/>
        <w:rPr>
          <w:rFonts w:ascii="宋体" w:hAnsi="宋体" w:cs="宋体"/>
          <w:spacing w:val="-1"/>
        </w:rPr>
      </w:pPr>
      <w:r>
        <w:rPr>
          <w:rFonts w:hint="eastAsia" w:ascii="宋体" w:hAnsi="宋体" w:cs="宋体"/>
          <w:spacing w:val="-1"/>
        </w:rPr>
        <w:t xml:space="preserve">三、乙方在廉政建设方面的责任</w:t>
      </w:r>
      <w:r>
        <w:rPr>
          <w:rFonts w:ascii="宋体" w:hAnsi="宋体" w:cs="宋体"/>
          <w:spacing w:val="-1"/>
        </w:rPr>
      </w:r>
      <w:r/>
    </w:p>
    <w:p>
      <w:pPr>
        <w:pStyle w:val="1011"/>
        <w:spacing w:line="413" w:lineRule="auto"/>
        <w:rPr>
          <w:rFonts w:ascii="宋体" w:hAnsi="宋体" w:cs="宋体"/>
          <w:spacing w:val="-1"/>
        </w:rPr>
      </w:pPr>
      <w:r>
        <w:rPr>
          <w:rFonts w:hint="eastAsia" w:ascii="宋体" w:hAnsi="宋体" w:cs="宋体"/>
          <w:spacing w:val="-1"/>
        </w:rPr>
        <w:t xml:space="preserve">L乙方不得以任何理由向甲方工作人员行贿或馈赠礼品。</w:t>
      </w:r>
      <w:r>
        <w:rPr>
          <w:rFonts w:ascii="宋体" w:hAnsi="宋体" w:cs="宋体"/>
          <w:spacing w:val="-1"/>
        </w:rPr>
      </w:r>
      <w:r/>
    </w:p>
    <w:p>
      <w:pPr>
        <w:pStyle w:val="1011"/>
        <w:spacing w:line="413" w:lineRule="auto"/>
        <w:rPr>
          <w:rFonts w:ascii="宋体" w:hAnsi="宋体" w:cs="宋体"/>
          <w:spacing w:val="-1"/>
        </w:rPr>
      </w:pPr>
      <w:r>
        <w:rPr>
          <w:rFonts w:hint="eastAsia" w:ascii="宋体" w:hAnsi="宋体" w:cs="宋体"/>
          <w:spacing w:val="-1"/>
        </w:rPr>
        <w:t xml:space="preserve">2、乙方不得以任何名义为甲方及其工作人员报支需由其个人支付的任何费用。</w:t>
      </w:r>
      <w:r>
        <w:rPr>
          <w:rFonts w:ascii="宋体" w:hAnsi="宋体" w:cs="宋体"/>
          <w:spacing w:val="-1"/>
        </w:rPr>
      </w:r>
      <w:r/>
    </w:p>
    <w:p>
      <w:pPr>
        <w:pStyle w:val="1011"/>
        <w:spacing w:line="413" w:lineRule="auto"/>
        <w:rPr>
          <w:rFonts w:ascii="宋体" w:hAnsi="宋体" w:cs="宋体"/>
          <w:spacing w:val="-1"/>
        </w:rPr>
      </w:pPr>
      <w:r>
        <w:rPr>
          <w:rFonts w:hint="eastAsia" w:ascii="宋体" w:hAnsi="宋体" w:cs="宋体"/>
          <w:spacing w:val="-1"/>
        </w:rPr>
        <w:t xml:space="preserve">3、乙方不得以任何理由邀请甲方工作人员参加由公款支付的娱乐性活动。</w:t>
      </w:r>
      <w:r>
        <w:rPr>
          <w:rFonts w:ascii="宋体" w:hAnsi="宋体" w:cs="宋体"/>
          <w:spacing w:val="-1"/>
        </w:rPr>
      </w:r>
      <w:r/>
    </w:p>
    <w:p>
      <w:pPr>
        <w:pStyle w:val="1011"/>
        <w:spacing w:line="413" w:lineRule="auto"/>
        <w:rPr>
          <w:rFonts w:ascii="宋体" w:hAnsi="宋体" w:cs="宋体"/>
          <w:spacing w:val="-1"/>
        </w:rPr>
      </w:pPr>
      <w:r>
        <w:rPr>
          <w:rFonts w:hint="eastAsia" w:ascii="宋体" w:hAnsi="宋体" w:cs="宋体"/>
          <w:spacing w:val="-1"/>
        </w:rPr>
        <w:t xml:space="preserve">4、乙方不得为甲方单位和个人购置或提供通讯工具、交通工具、家电和高档办公用品。</w:t>
      </w:r>
      <w:r>
        <w:rPr>
          <w:rFonts w:ascii="宋体" w:hAnsi="宋体" w:cs="宋体"/>
          <w:spacing w:val="-1"/>
        </w:rPr>
      </w:r>
      <w:r/>
    </w:p>
    <w:p>
      <w:pPr>
        <w:pStyle w:val="1011"/>
        <w:spacing w:line="413" w:lineRule="auto"/>
        <w:rPr>
          <w:rFonts w:ascii="宋体" w:hAnsi="宋体" w:cs="宋体"/>
          <w:spacing w:val="-1"/>
        </w:rPr>
      </w:pPr>
      <w:r>
        <w:rPr>
          <w:rFonts w:hint="eastAsia" w:ascii="宋体" w:hAnsi="宋体" w:cs="宋体"/>
          <w:spacing w:val="-1"/>
        </w:rPr>
        <w:t xml:space="preserve">5、乙方人员不得到甲方人员家里或宿舍里询访有关项目事项。</w:t>
      </w:r>
      <w:r>
        <w:rPr>
          <w:rFonts w:ascii="宋体" w:hAnsi="宋体" w:cs="宋体"/>
          <w:spacing w:val="-1"/>
        </w:rPr>
      </w:r>
      <w:r/>
    </w:p>
    <w:p>
      <w:pPr>
        <w:pStyle w:val="1011"/>
        <w:spacing w:line="413" w:lineRule="auto"/>
        <w:rPr>
          <w:rFonts w:ascii="宋体" w:hAnsi="宋体" w:cs="宋体"/>
          <w:spacing w:val="-1"/>
        </w:rPr>
      </w:pPr>
      <w:r>
        <w:rPr>
          <w:rFonts w:hint="eastAsia" w:ascii="宋体" w:hAnsi="宋体" w:cs="宋体"/>
          <w:spacing w:val="-1"/>
        </w:rPr>
        <w:t xml:space="preserve">四、违约责任</w:t>
      </w:r>
      <w:r>
        <w:rPr>
          <w:rFonts w:ascii="宋体" w:hAnsi="宋体" w:cs="宋体"/>
          <w:spacing w:val="-1"/>
        </w:rPr>
      </w:r>
      <w:r/>
    </w:p>
    <w:p>
      <w:pPr>
        <w:pStyle w:val="1011"/>
        <w:spacing w:line="412" w:lineRule="auto"/>
        <w:rPr>
          <w:rFonts w:ascii="宋体" w:hAnsi="宋体" w:cs="宋体"/>
          <w:spacing w:val="-1"/>
        </w:rPr>
      </w:pPr>
      <w:r>
        <w:rPr>
          <w:rFonts w:hint="eastAsia" w:ascii="宋体" w:hAnsi="宋体" w:cs="宋体"/>
          <w:spacing w:val="-1"/>
        </w:rPr>
        <w:t xml:space="preserve">1、甲方有违反本合同第一条第1至5款和第二条的, 依据有关法律、法规给予处理；涉 </w:t>
      </w:r>
      <w:bookmarkStart w:id="108" w:name="OLE_LINK177"/>
      <w:r>
        <w:rPr>
          <w:rFonts w:hint="eastAsia" w:ascii="宋体" w:hAnsi="宋体" w:cs="宋体"/>
          <w:spacing w:val="-1"/>
        </w:rPr>
        <w:t xml:space="preserve">嫌犯罪的，移交司法机关追究刑事责任；给承包人单位造成经济损失的，应予以赔偿</w:t>
      </w:r>
      <w:bookmarkEnd w:id="108"/>
      <w:r>
        <w:rPr>
          <w:rFonts w:hint="eastAsia" w:ascii="宋体" w:hAnsi="宋体" w:cs="宋体"/>
          <w:spacing w:val="-1"/>
        </w:rPr>
        <w:t xml:space="preserve">。</w:t>
      </w:r>
      <w:r>
        <w:rPr>
          <w:rFonts w:ascii="宋体" w:hAnsi="宋体" w:cs="宋体"/>
          <w:spacing w:val="-1"/>
        </w:rPr>
      </w:r>
      <w:r/>
    </w:p>
    <w:p>
      <w:pPr>
        <w:pStyle w:val="1011"/>
        <w:spacing w:line="413" w:lineRule="auto"/>
        <w:rPr>
          <w:rFonts w:ascii="宋体" w:hAnsi="宋体" w:cs="宋体"/>
          <w:spacing w:val="-1"/>
        </w:rPr>
      </w:pPr>
      <w:r>
        <w:rPr>
          <w:rFonts w:ascii="宋体" w:hAnsi="宋体" w:cs="宋体"/>
          <w:spacing w:val="-1"/>
        </w:rPr>
      </w:r>
      <w:r/>
    </w:p>
    <w:p>
      <w:pPr>
        <w:pStyle w:val="1011"/>
        <w:spacing w:line="412" w:lineRule="auto"/>
        <w:rPr>
          <w:rFonts w:ascii="宋体" w:hAnsi="宋体" w:cs="宋体"/>
          <w:spacing w:val="-1"/>
        </w:rPr>
      </w:pPr>
      <w:r>
        <w:rPr>
          <w:rFonts w:hint="eastAsia" w:ascii="宋体" w:hAnsi="宋体" w:cs="宋体"/>
          <w:spacing w:val="-1"/>
        </w:rPr>
        <w:t xml:space="preserve">2、乙方有违反合同第一条第1至5款和第三条的, 依据有关法律法规处理；涉嫌犯罪 的，移交司法机关追究刑事责任；给发包人单位造成经济损失的，应予以赔偿。</w:t>
      </w:r>
      <w:r>
        <w:rPr>
          <w:rFonts w:ascii="宋体" w:hAnsi="宋体" w:cs="宋体"/>
          <w:spacing w:val="-1"/>
        </w:rPr>
      </w:r>
      <w:r/>
    </w:p>
    <w:p>
      <w:pPr>
        <w:pStyle w:val="1011"/>
        <w:spacing w:line="413" w:lineRule="auto"/>
        <w:rPr>
          <w:rFonts w:ascii="宋体" w:hAnsi="宋体" w:cs="宋体"/>
          <w:spacing w:val="-1"/>
        </w:rPr>
      </w:pPr>
      <w:r>
        <w:rPr>
          <w:rFonts w:hint="eastAsia" w:ascii="宋体" w:hAnsi="宋体" w:cs="宋体"/>
          <w:spacing w:val="-1"/>
        </w:rPr>
        <w:t xml:space="preserve">43 本责任书作为采购合同的组成部分，与采购合同具有同等法律效力，经双方签署后 立即生效。</w:t>
      </w:r>
      <w:r>
        <w:rPr>
          <w:rFonts w:ascii="宋体" w:hAnsi="宋体" w:cs="宋体"/>
          <w:spacing w:val="-1"/>
        </w:rPr>
      </w:r>
      <w:r/>
    </w:p>
    <w:p>
      <w:pPr>
        <w:pStyle w:val="1011"/>
        <w:spacing w:line="413" w:lineRule="auto"/>
        <w:rPr>
          <w:rFonts w:ascii="宋体" w:hAnsi="宋体" w:cs="宋体"/>
          <w:spacing w:val="-1"/>
        </w:rPr>
      </w:pPr>
      <w:r>
        <w:rPr>
          <w:rFonts w:ascii="宋体" w:hAnsi="宋体" w:cs="宋体"/>
          <w:spacing w:val="-1"/>
        </w:rPr>
      </w:r>
      <w:r/>
    </w:p>
    <w:p>
      <w:pPr>
        <w:pStyle w:val="1011"/>
        <w:spacing w:line="412" w:lineRule="auto"/>
        <w:rPr>
          <w:rFonts w:ascii="宋体" w:hAnsi="宋体" w:cs="宋体"/>
          <w:spacing w:val="-1"/>
        </w:rPr>
      </w:pPr>
      <w:r>
        <w:rPr>
          <w:rFonts w:hint="eastAsia" w:ascii="宋体" w:hAnsi="宋体" w:cs="宋体"/>
          <w:spacing w:val="-1"/>
        </w:rPr>
        <w:t xml:space="preserve">五、责任书有效期 </w:t>
      </w:r>
      <w:r>
        <w:rPr>
          <w:rFonts w:ascii="宋体" w:hAnsi="宋体" w:cs="宋体"/>
          <w:spacing w:val="-1"/>
        </w:rPr>
      </w:r>
      <w:r/>
    </w:p>
    <w:p>
      <w:pPr>
        <w:pStyle w:val="1011"/>
        <w:spacing w:line="412" w:lineRule="auto"/>
        <w:rPr>
          <w:rFonts w:ascii="宋体" w:hAnsi="宋体" w:cs="宋体"/>
          <w:spacing w:val="-1"/>
        </w:rPr>
      </w:pPr>
      <w:r>
        <w:rPr>
          <w:rFonts w:hint="eastAsia" w:ascii="宋体" w:hAnsi="宋体" w:cs="宋体"/>
          <w:spacing w:val="-1"/>
        </w:rPr>
        <w:t xml:space="preserve">本责任书的有效期为双方签署之日起至本服务期限结束止。</w:t>
      </w:r>
      <w:r>
        <w:rPr>
          <w:rFonts w:ascii="宋体" w:hAnsi="宋体" w:cs="宋体"/>
          <w:spacing w:val="-1"/>
        </w:rPr>
      </w:r>
      <w:r/>
    </w:p>
    <w:p>
      <w:pPr>
        <w:pStyle w:val="1011"/>
        <w:spacing w:line="412" w:lineRule="auto"/>
        <w:rPr>
          <w:rFonts w:ascii="宋体" w:hAnsi="宋体" w:cs="宋体"/>
          <w:spacing w:val="-1"/>
        </w:rPr>
      </w:pPr>
      <w:r>
        <w:rPr>
          <w:rFonts w:hint="eastAsia" w:ascii="宋体" w:hAnsi="宋体" w:cs="宋体"/>
          <w:spacing w:val="-1"/>
        </w:rPr>
        <w:t xml:space="preserve">六、本责任书一式四份，甲乙双方各执二份，具有同等效力。</w:t>
      </w:r>
      <w:r>
        <w:rPr>
          <w:rFonts w:ascii="宋体" w:hAnsi="宋体" w:cs="宋体"/>
          <w:spacing w:val="-1"/>
        </w:rPr>
      </w:r>
      <w:r/>
    </w:p>
    <w:p>
      <w:pPr>
        <w:pStyle w:val="1011"/>
        <w:spacing w:line="412" w:lineRule="auto"/>
        <w:rPr>
          <w:rFonts w:ascii="宋体" w:hAnsi="宋体" w:cs="宋体"/>
          <w:spacing w:val="-1"/>
        </w:rPr>
      </w:pPr>
      <w:r>
        <w:rPr>
          <w:rFonts w:ascii="宋体" w:hAnsi="宋体" w:cs="宋体"/>
          <w:spacing w:val="-1"/>
        </w:rPr>
      </w:r>
      <w:r/>
    </w:p>
    <w:p>
      <w:pPr>
        <w:pStyle w:val="1011"/>
        <w:spacing w:line="412" w:lineRule="auto"/>
        <w:rPr>
          <w:rFonts w:ascii="宋体" w:hAnsi="宋体" w:cs="宋体"/>
          <w:spacing w:val="-1"/>
        </w:rPr>
      </w:pPr>
      <w:r>
        <w:rPr>
          <w:rFonts w:hint="eastAsia" w:ascii="宋体" w:hAnsi="宋体" w:cs="宋体"/>
          <w:spacing w:val="-1"/>
        </w:rPr>
        <w:t xml:space="preserve">甲方单位：(公章)                乙方单位：(公章)</w:t>
      </w:r>
      <w:r>
        <w:rPr>
          <w:rFonts w:ascii="宋体" w:hAnsi="宋体" w:cs="宋体"/>
          <w:spacing w:val="-1"/>
        </w:rPr>
      </w:r>
      <w:r/>
    </w:p>
    <w:p>
      <w:pPr>
        <w:pStyle w:val="1011"/>
        <w:spacing w:line="412" w:lineRule="auto"/>
        <w:rPr>
          <w:rFonts w:ascii="宋体" w:hAnsi="宋体" w:cs="宋体"/>
          <w:spacing w:val="-1"/>
        </w:rPr>
      </w:pPr>
      <w:r>
        <w:rPr>
          <w:rFonts w:hint="eastAsia" w:ascii="宋体" w:hAnsi="宋体" w:cs="宋体"/>
          <w:spacing w:val="-1"/>
        </w:rPr>
        <w:t xml:space="preserve">法定代表人或其委托代理人：     法定代表人或其委托代理人：</w:t>
      </w:r>
      <w:r>
        <w:rPr>
          <w:rFonts w:ascii="宋体" w:hAnsi="宋体" w:cs="宋体"/>
          <w:spacing w:val="-1"/>
        </w:rPr>
      </w:r>
      <w:r/>
    </w:p>
    <w:p>
      <w:pPr>
        <w:pStyle w:val="1011"/>
        <w:spacing w:line="412" w:lineRule="auto"/>
        <w:rPr>
          <w:rFonts w:ascii="宋体" w:hAnsi="宋体" w:cs="宋体"/>
          <w:spacing w:val="-1"/>
        </w:rPr>
      </w:pPr>
      <w:r>
        <w:rPr>
          <w:rFonts w:hint="eastAsia" w:ascii="宋体" w:hAnsi="宋体" w:cs="宋体"/>
          <w:spacing w:val="-1"/>
        </w:rPr>
        <w:t xml:space="preserve">(签字或盖章)                   (签字或盖章)</w:t>
      </w:r>
      <w:r>
        <w:rPr>
          <w:rFonts w:ascii="宋体" w:hAnsi="宋体" w:cs="宋体"/>
          <w:spacing w:val="-1"/>
        </w:rPr>
      </w:r>
      <w:r/>
    </w:p>
    <w:p>
      <w:pPr>
        <w:pStyle w:val="1011"/>
        <w:spacing w:line="412" w:lineRule="auto"/>
        <w:rPr>
          <w:rFonts w:ascii="宋体" w:hAnsi="宋体" w:cs="宋体"/>
          <w:spacing w:val="-1"/>
        </w:rPr>
      </w:pPr>
      <w:r>
        <w:rPr>
          <w:rFonts w:ascii="宋体" w:hAnsi="宋体" w:cs="宋体"/>
          <w:spacing w:val="-1"/>
        </w:rPr>
      </w:r>
      <w:r/>
    </w:p>
    <w:p>
      <w:pPr>
        <w:pStyle w:val="1011"/>
        <w:spacing w:line="221" w:lineRule="auto"/>
        <w:rPr>
          <w:rFonts w:ascii="宋体" w:hAnsi="宋体" w:cs="宋体"/>
        </w:rPr>
        <w:sectPr>
          <w:headerReference w:type="default" r:id="rId24"/>
          <w:footerReference w:type="default" r:id="rId31"/>
          <w:footnotePr/>
          <w:endnotePr/>
          <w:type w:val="nextPage"/>
          <w:pgSz w:w="11907" w:h="16839" w:orient="portrait"/>
          <w:pgMar w:top="921" w:right="1106" w:bottom="676" w:left="1104" w:header="601" w:footer="511" w:gutter="0"/>
          <w:cols w:num="1" w:sep="0" w:space="720" w:equalWidth="1"/>
          <w:docGrid w:linePitch="360"/>
        </w:sectPr>
      </w:pPr>
      <w:r>
        <w:rPr>
          <w:rFonts w:ascii="宋体" w:hAnsi="宋体" w:cs="宋体"/>
        </w:rPr>
      </w:r>
      <w:r/>
    </w:p>
    <w:p>
      <w:pPr>
        <w:pStyle w:val="1011"/>
        <w:ind w:left="1200"/>
        <w:spacing w:before="113" w:line="221" w:lineRule="auto"/>
        <w:rPr>
          <w:rFonts w:ascii="宋体" w:hAnsi="宋体" w:cs="宋体"/>
        </w:rPr>
      </w:pPr>
      <w:r>
        <w:rPr>
          <w:rFonts w:ascii="宋体" w:hAnsi="宋体" w:cs="宋体"/>
          <w:b/>
          <w:bCs/>
          <w:spacing w:val="-21"/>
        </w:rPr>
        <w:t xml:space="preserve">附件：项目运行管理考核明细表</w:t>
      </w:r>
      <w:r>
        <w:rPr>
          <w:rFonts w:ascii="宋体" w:hAnsi="宋体" w:cs="宋体"/>
        </w:rPr>
      </w:r>
      <w:r/>
    </w:p>
    <w:p>
      <w:pPr>
        <w:pStyle w:val="1011"/>
        <w:spacing w:before="56"/>
      </w:pPr>
      <w:r/>
      <w:r/>
    </w:p>
    <w:tbl>
      <w:tblPr>
        <w:tblW w:w="103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1"/>
        <w:gridCol w:w="595"/>
        <w:gridCol w:w="1092"/>
        <w:gridCol w:w="2329"/>
        <w:gridCol w:w="5208"/>
        <w:gridCol w:w="724"/>
      </w:tblGrid>
      <w:tr>
        <w:trPr>
          <w:trHeight w:val="899"/>
        </w:trPr>
        <w:tc>
          <w:tcPr>
            <w:tcW w:w="441" w:type="dxa"/>
            <w:vAlign w:val="top"/>
            <w:textDirection w:val="tbRlV"/>
            <w:noWrap w:val="false"/>
          </w:tcPr>
          <w:p>
            <w:pPr>
              <w:pStyle w:val="1198"/>
              <w:ind w:left="257"/>
              <w:spacing w:before="102" w:line="211" w:lineRule="auto"/>
              <w:rPr>
                <w:lang w:eastAsia="en-US"/>
              </w:rPr>
            </w:pPr>
            <w:r>
              <w:rPr>
                <w:spacing w:val="2"/>
                <w:lang w:eastAsia="en-US"/>
              </w:rPr>
              <w:t xml:space="preserve">序号</w:t>
            </w:r>
            <w:r>
              <w:rPr>
                <w:lang w:eastAsia="en-US"/>
              </w:rPr>
            </w:r>
            <w:r/>
          </w:p>
        </w:tc>
        <w:tc>
          <w:tcPr>
            <w:tcW w:w="595" w:type="dxa"/>
            <w:vAlign w:val="top"/>
            <w:textDirection w:val="lrTb"/>
            <w:noWrap w:val="false"/>
          </w:tcPr>
          <w:p>
            <w:pPr>
              <w:pStyle w:val="1011"/>
              <w:spacing w:line="343" w:lineRule="auto"/>
              <w:rPr>
                <w:rFonts w:eastAsia="Arial"/>
                <w:lang w:eastAsia="en-US"/>
              </w:rPr>
            </w:pPr>
            <w:r>
              <w:rPr>
                <w:rFonts w:eastAsia="Arial"/>
                <w:lang w:eastAsia="en-US"/>
              </w:rPr>
            </w:r>
            <w:r/>
          </w:p>
          <w:p>
            <w:pPr>
              <w:pStyle w:val="1198"/>
              <w:jc w:val="right"/>
              <w:spacing w:before="68" w:line="222" w:lineRule="auto"/>
              <w:rPr>
                <w:lang w:eastAsia="en-US"/>
              </w:rPr>
            </w:pPr>
            <w:r>
              <w:rPr>
                <w:spacing w:val="-24"/>
                <w:lang w:eastAsia="en-US"/>
              </w:rPr>
              <w:t xml:space="preserve">项 目</w:t>
            </w:r>
            <w:r>
              <w:rPr>
                <w:lang w:eastAsia="en-US"/>
              </w:rPr>
            </w:r>
            <w:r/>
          </w:p>
        </w:tc>
        <w:tc>
          <w:tcPr>
            <w:tcW w:w="1092" w:type="dxa"/>
            <w:vAlign w:val="top"/>
            <w:textDirection w:val="lrTb"/>
            <w:noWrap w:val="false"/>
          </w:tcPr>
          <w:p>
            <w:pPr>
              <w:pStyle w:val="1198"/>
              <w:ind w:left="79"/>
              <w:spacing w:before="188" w:line="222" w:lineRule="auto"/>
              <w:rPr>
                <w:lang w:eastAsia="en-US"/>
              </w:rPr>
            </w:pPr>
            <w:r>
              <w:rPr>
                <w:spacing w:val="-4"/>
                <w:lang w:eastAsia="en-US"/>
              </w:rPr>
              <w:t xml:space="preserve">项目</w:t>
            </w:r>
            <w:r>
              <w:rPr>
                <w:lang w:eastAsia="en-US"/>
              </w:rPr>
            </w:r>
            <w:r/>
          </w:p>
          <w:p>
            <w:pPr>
              <w:pStyle w:val="1198"/>
              <w:ind w:left="76"/>
              <w:spacing w:before="195" w:line="222" w:lineRule="auto"/>
              <w:rPr>
                <w:lang w:eastAsia="en-US"/>
              </w:rPr>
            </w:pPr>
            <w:r>
              <w:rPr>
                <w:spacing w:val="-3"/>
                <w:lang w:eastAsia="en-US"/>
              </w:rPr>
              <w:t xml:space="preserve">总分</w:t>
            </w:r>
            <w:r>
              <w:rPr>
                <w:lang w:eastAsia="en-US"/>
              </w:rPr>
            </w:r>
            <w:r/>
          </w:p>
        </w:tc>
        <w:tc>
          <w:tcPr>
            <w:tcW w:w="2329" w:type="dxa"/>
            <w:vAlign w:val="top"/>
            <w:textDirection w:val="lrTb"/>
            <w:noWrap w:val="false"/>
          </w:tcPr>
          <w:p>
            <w:pPr>
              <w:pStyle w:val="1011"/>
              <w:spacing w:line="343" w:lineRule="auto"/>
              <w:rPr>
                <w:rFonts w:eastAsia="Arial"/>
                <w:lang w:eastAsia="en-US"/>
              </w:rPr>
            </w:pPr>
            <w:r>
              <w:rPr>
                <w:rFonts w:eastAsia="Arial"/>
                <w:lang w:eastAsia="en-US"/>
              </w:rPr>
            </w:r>
            <w:r/>
          </w:p>
          <w:p>
            <w:pPr>
              <w:pStyle w:val="1198"/>
              <w:ind w:left="728"/>
              <w:spacing w:before="68" w:line="221" w:lineRule="auto"/>
              <w:rPr>
                <w:lang w:eastAsia="en-US"/>
              </w:rPr>
            </w:pPr>
            <w:r>
              <w:rPr>
                <w:spacing w:val="-3"/>
                <w:lang w:eastAsia="en-US"/>
              </w:rPr>
              <w:t xml:space="preserve">考核内容</w:t>
            </w:r>
            <w:r>
              <w:rPr>
                <w:lang w:eastAsia="en-US"/>
              </w:rPr>
            </w:r>
            <w:r/>
          </w:p>
        </w:tc>
        <w:tc>
          <w:tcPr>
            <w:tcW w:w="5208" w:type="dxa"/>
            <w:vAlign w:val="top"/>
            <w:textDirection w:val="lrTb"/>
            <w:noWrap w:val="false"/>
          </w:tcPr>
          <w:p>
            <w:pPr>
              <w:pStyle w:val="1011"/>
              <w:spacing w:line="343" w:lineRule="auto"/>
              <w:rPr>
                <w:rFonts w:eastAsia="Arial"/>
                <w:lang w:eastAsia="en-US"/>
              </w:rPr>
            </w:pPr>
            <w:r>
              <w:rPr>
                <w:rFonts w:eastAsia="Arial"/>
                <w:lang w:eastAsia="en-US"/>
              </w:rPr>
            </w:r>
            <w:r/>
          </w:p>
          <w:p>
            <w:pPr>
              <w:pStyle w:val="1198"/>
              <w:ind w:left="1338"/>
              <w:spacing w:before="68" w:line="222" w:lineRule="auto"/>
              <w:rPr>
                <w:lang w:eastAsia="en-US"/>
              </w:rPr>
            </w:pPr>
            <w:r>
              <w:rPr>
                <w:spacing w:val="-5"/>
                <w:lang w:eastAsia="en-US"/>
              </w:rPr>
              <w:t xml:space="preserve">扣分标准</w:t>
            </w:r>
            <w:r>
              <w:rPr>
                <w:lang w:eastAsia="en-US"/>
              </w:rPr>
            </w:r>
            <w:r/>
          </w:p>
        </w:tc>
        <w:tc>
          <w:tcPr>
            <w:tcW w:w="724" w:type="dxa"/>
            <w:vAlign w:val="top"/>
            <w:textDirection w:val="lrTb"/>
            <w:noWrap w:val="false"/>
          </w:tcPr>
          <w:p>
            <w:pPr>
              <w:pStyle w:val="1198"/>
              <w:ind w:left="164"/>
              <w:spacing w:before="190" w:line="222" w:lineRule="auto"/>
              <w:rPr>
                <w:lang w:eastAsia="en-US"/>
              </w:rPr>
            </w:pPr>
            <w:r>
              <w:rPr>
                <w:spacing w:val="-4"/>
                <w:lang w:eastAsia="en-US"/>
              </w:rPr>
              <w:t xml:space="preserve">项目</w:t>
            </w:r>
            <w:r>
              <w:rPr>
                <w:lang w:eastAsia="en-US"/>
              </w:rPr>
            </w:r>
            <w:r/>
          </w:p>
          <w:p>
            <w:pPr>
              <w:pStyle w:val="1198"/>
              <w:ind w:left="162"/>
              <w:spacing w:before="194" w:line="221" w:lineRule="auto"/>
              <w:rPr>
                <w:lang w:eastAsia="en-US"/>
              </w:rPr>
            </w:pPr>
            <w:r>
              <w:rPr>
                <w:spacing w:val="-3"/>
                <w:lang w:eastAsia="en-US"/>
              </w:rPr>
              <w:t xml:space="preserve">得分</w:t>
            </w:r>
            <w:r>
              <w:rPr>
                <w:lang w:eastAsia="en-US"/>
              </w:rPr>
            </w:r>
            <w:r/>
          </w:p>
        </w:tc>
      </w:tr>
      <w:tr>
        <w:trPr>
          <w:cantSplit/>
          <w:trHeight w:val="688"/>
        </w:trPr>
        <w:tc>
          <w:tcPr>
            <w:tcBorders>
              <w:bottom w:val="none" w:color="000000" w:sz="4" w:space="0"/>
            </w:tcBorders>
            <w:tcW w:w="441" w:type="dxa"/>
            <w:vAlign w:val="top"/>
            <w:vMerge w:val="restart"/>
            <w:textDirection w:val="lrTb"/>
            <w:noWrap w:val="false"/>
          </w:tcPr>
          <w:p>
            <w:pPr>
              <w:pStyle w:val="1011"/>
              <w:spacing w:line="264" w:lineRule="auto"/>
              <w:rPr>
                <w:rFonts w:eastAsia="Arial"/>
                <w:lang w:eastAsia="en-US"/>
              </w:rPr>
            </w:pPr>
            <w:r>
              <w:rPr>
                <w:rFonts w:eastAsia="Arial"/>
                <w:lang w:eastAsia="en-US"/>
              </w:rPr>
            </w:r>
            <w:r/>
          </w:p>
          <w:p>
            <w:pPr>
              <w:pStyle w:val="1011"/>
              <w:spacing w:line="264" w:lineRule="auto"/>
              <w:rPr>
                <w:rFonts w:eastAsia="Arial"/>
                <w:lang w:eastAsia="en-US"/>
              </w:rPr>
            </w:pPr>
            <w:r>
              <w:rPr>
                <w:rFonts w:eastAsia="Arial"/>
                <w:lang w:eastAsia="en-US"/>
              </w:rPr>
            </w:r>
            <w:r/>
          </w:p>
          <w:p>
            <w:pPr>
              <w:pStyle w:val="1011"/>
              <w:ind w:left="183"/>
              <w:spacing w:before="64" w:line="179" w:lineRule="auto"/>
              <w:rPr>
                <w:rFonts w:ascii="Calibri" w:hAnsi="Calibri" w:eastAsia="Calibri" w:cs="Calibri"/>
                <w:lang w:eastAsia="en-US"/>
              </w:rPr>
            </w:pPr>
            <w:r>
              <w:rPr>
                <w:rFonts w:ascii="Calibri" w:hAnsi="Calibri" w:eastAsia="Calibri" w:cs="Calibri"/>
                <w:lang w:eastAsia="en-US"/>
              </w:rPr>
              <w:t xml:space="preserve">1</w:t>
            </w:r>
            <w:r/>
          </w:p>
        </w:tc>
        <w:tc>
          <w:tcPr>
            <w:tcBorders>
              <w:bottom w:val="none" w:color="000000" w:sz="4" w:space="0"/>
            </w:tcBorders>
            <w:tcW w:w="595" w:type="dxa"/>
            <w:vAlign w:val="top"/>
            <w:vMerge w:val="restart"/>
            <w:textDirection w:val="lrTb"/>
            <w:noWrap w:val="false"/>
          </w:tcPr>
          <w:p>
            <w:pPr>
              <w:pStyle w:val="1011"/>
              <w:spacing w:line="405" w:lineRule="auto"/>
              <w:rPr>
                <w:rFonts w:eastAsia="Arial"/>
                <w:lang w:eastAsia="en-US"/>
              </w:rPr>
            </w:pPr>
            <w:r>
              <w:rPr>
                <w:rFonts w:eastAsia="Arial"/>
                <w:lang w:eastAsia="en-US"/>
              </w:rPr>
            </w:r>
            <w:r/>
          </w:p>
          <w:p>
            <w:pPr>
              <w:pStyle w:val="1198"/>
              <w:ind w:left="72"/>
              <w:spacing w:before="69" w:line="223" w:lineRule="auto"/>
              <w:rPr>
                <w:lang w:eastAsia="en-US"/>
              </w:rPr>
            </w:pPr>
            <w:r>
              <w:rPr>
                <w:spacing w:val="5"/>
                <w:lang w:eastAsia="en-US"/>
              </w:rPr>
              <w:t xml:space="preserve">人员</w:t>
            </w:r>
            <w:r>
              <w:rPr>
                <w:lang w:eastAsia="en-US"/>
              </w:rPr>
            </w:r>
            <w:r/>
          </w:p>
          <w:p>
            <w:pPr>
              <w:pStyle w:val="1198"/>
              <w:ind w:left="69"/>
              <w:spacing w:before="140" w:line="222" w:lineRule="auto"/>
              <w:rPr>
                <w:lang w:eastAsia="en-US"/>
              </w:rPr>
            </w:pPr>
            <w:r>
              <w:rPr>
                <w:spacing w:val="7"/>
                <w:lang w:eastAsia="en-US"/>
              </w:rPr>
              <w:t xml:space="preserve">情况</w:t>
            </w:r>
            <w:r>
              <w:rPr>
                <w:lang w:eastAsia="en-US"/>
              </w:rPr>
            </w:r>
            <w:r/>
          </w:p>
        </w:tc>
        <w:tc>
          <w:tcPr>
            <w:tcBorders>
              <w:bottom w:val="none" w:color="000000" w:sz="4" w:space="0"/>
            </w:tcBorders>
            <w:tcW w:w="1092" w:type="dxa"/>
            <w:vAlign w:val="top"/>
            <w:vMerge w:val="restart"/>
            <w:textDirection w:val="lrTb"/>
            <w:noWrap w:val="false"/>
          </w:tcPr>
          <w:p>
            <w:pPr>
              <w:pStyle w:val="1011"/>
              <w:spacing w:line="251" w:lineRule="auto"/>
              <w:rPr>
                <w:rFonts w:eastAsia="Arial"/>
                <w:lang w:eastAsia="en-US"/>
              </w:rPr>
            </w:pPr>
            <w:r>
              <w:rPr>
                <w:rFonts w:eastAsia="Arial"/>
                <w:lang w:eastAsia="en-US"/>
              </w:rPr>
            </w:r>
            <w:r/>
          </w:p>
          <w:p>
            <w:pPr>
              <w:pStyle w:val="1011"/>
              <w:spacing w:line="252" w:lineRule="auto"/>
              <w:rPr>
                <w:rFonts w:eastAsia="Arial"/>
                <w:lang w:eastAsia="en-US"/>
              </w:rPr>
            </w:pPr>
            <w:r>
              <w:rPr>
                <w:rFonts w:eastAsia="Arial"/>
                <w:lang w:eastAsia="en-US"/>
              </w:rPr>
            </w:r>
            <w:r/>
          </w:p>
          <w:p>
            <w:pPr>
              <w:pStyle w:val="1198"/>
              <w:ind w:left="190"/>
              <w:spacing w:before="68" w:line="242" w:lineRule="auto"/>
              <w:rPr>
                <w:lang w:eastAsia="en-US"/>
              </w:rPr>
            </w:pPr>
            <w:r>
              <w:rPr>
                <w:spacing w:val="-7"/>
                <w:lang w:eastAsia="en-US"/>
              </w:rPr>
              <w:t xml:space="preserve">10</w:t>
            </w:r>
            <w:r>
              <w:rPr>
                <w:lang w:eastAsia="en-US"/>
              </w:rPr>
            </w:r>
            <w:r/>
          </w:p>
        </w:tc>
        <w:tc>
          <w:tcPr>
            <w:tcW w:w="2329" w:type="dxa"/>
            <w:vAlign w:val="top"/>
            <w:textDirection w:val="lrTb"/>
            <w:noWrap w:val="false"/>
          </w:tcPr>
          <w:p>
            <w:pPr>
              <w:pStyle w:val="1198"/>
              <w:ind w:left="8" w:right="16" w:firstLine="1"/>
              <w:spacing w:before="104" w:line="252" w:lineRule="auto"/>
            </w:pPr>
            <w:r>
              <w:rPr>
                <w:spacing w:val="15"/>
              </w:rPr>
              <w:t xml:space="preserve">人员及运行管理机构是否健</w:t>
            </w:r>
            <w:r>
              <w:t xml:space="preserve">全</w:t>
            </w:r>
            <w:r/>
          </w:p>
        </w:tc>
        <w:tc>
          <w:tcPr>
            <w:tcW w:w="5208" w:type="dxa"/>
            <w:vAlign w:val="top"/>
            <w:textDirection w:val="lrTb"/>
            <w:noWrap w:val="false"/>
          </w:tcPr>
          <w:p>
            <w:pPr>
              <w:pStyle w:val="1198"/>
              <w:ind w:left="146" w:right="81" w:hanging="108"/>
              <w:spacing w:before="111" w:line="249" w:lineRule="auto"/>
            </w:pPr>
            <w:r>
              <w:rPr>
                <w:spacing w:val="3"/>
              </w:rPr>
              <w:t xml:space="preserve">人员或运行管理机构未配置或不健全的，每缺</w:t>
            </w:r>
            <w:r>
              <w:rPr>
                <w:spacing w:val="2"/>
              </w:rPr>
              <w:t xml:space="preserve">一个扣2</w:t>
            </w:r>
            <w:r>
              <w:t xml:space="preserve">分</w:t>
            </w:r>
            <w:r/>
          </w:p>
        </w:tc>
        <w:tc>
          <w:tcPr>
            <w:tcW w:w="724" w:type="dxa"/>
            <w:vAlign w:val="top"/>
            <w:textDirection w:val="lrTb"/>
            <w:noWrap w:val="false"/>
          </w:tcPr>
          <w:p>
            <w:pPr>
              <w:pStyle w:val="1011"/>
              <w:rPr>
                <w:rFonts w:eastAsia="Arial"/>
              </w:rPr>
            </w:pPr>
            <w:r>
              <w:rPr>
                <w:rFonts w:eastAsia="Arial"/>
              </w:rPr>
            </w:r>
            <w:r/>
          </w:p>
        </w:tc>
      </w:tr>
      <w:tr>
        <w:trPr>
          <w:cantSplit/>
          <w:trHeight w:val="624"/>
        </w:trPr>
        <w:tc>
          <w:tcPr>
            <w:tcBorders>
              <w:top w:val="none" w:color="000000" w:sz="4" w:space="0"/>
            </w:tcBorders>
            <w:tcW w:w="441" w:type="dxa"/>
            <w:vAlign w:val="top"/>
            <w:vMerge w:val="continue"/>
            <w:textDirection w:val="lrTb"/>
            <w:noWrap w:val="false"/>
          </w:tcPr>
          <w:p>
            <w:pPr>
              <w:pStyle w:val="1011"/>
              <w:rPr>
                <w:rFonts w:eastAsia="Arial"/>
              </w:rPr>
            </w:pPr>
            <w:r>
              <w:rPr>
                <w:rFonts w:eastAsia="Arial"/>
              </w:rPr>
            </w:r>
            <w:r/>
          </w:p>
        </w:tc>
        <w:tc>
          <w:tcPr>
            <w:tcBorders>
              <w:top w:val="none" w:color="000000" w:sz="4" w:space="0"/>
            </w:tcBorders>
            <w:tcW w:w="595" w:type="dxa"/>
            <w:vAlign w:val="top"/>
            <w:vMerge w:val="continue"/>
            <w:textDirection w:val="lrTb"/>
            <w:noWrap w:val="false"/>
          </w:tcPr>
          <w:p>
            <w:pPr>
              <w:pStyle w:val="1011"/>
              <w:rPr>
                <w:rFonts w:eastAsia="Arial"/>
              </w:rPr>
            </w:pPr>
            <w:r>
              <w:rPr>
                <w:rFonts w:eastAsia="Arial"/>
              </w:rPr>
            </w:r>
            <w:r/>
          </w:p>
        </w:tc>
        <w:tc>
          <w:tcPr>
            <w:tcBorders>
              <w:top w:val="none" w:color="000000" w:sz="4" w:space="0"/>
            </w:tcBorders>
            <w:tcW w:w="1092" w:type="dxa"/>
            <w:vAlign w:val="top"/>
            <w:vMerge w:val="continue"/>
            <w:textDirection w:val="lrTb"/>
            <w:noWrap w:val="false"/>
          </w:tcPr>
          <w:p>
            <w:pPr>
              <w:pStyle w:val="1011"/>
              <w:rPr>
                <w:rFonts w:eastAsia="Arial"/>
              </w:rPr>
            </w:pPr>
            <w:r>
              <w:rPr>
                <w:rFonts w:eastAsia="Arial"/>
              </w:rPr>
            </w:r>
            <w:r/>
          </w:p>
        </w:tc>
        <w:tc>
          <w:tcPr>
            <w:tcW w:w="2329" w:type="dxa"/>
            <w:vAlign w:val="top"/>
            <w:textDirection w:val="lrTb"/>
            <w:noWrap w:val="false"/>
          </w:tcPr>
          <w:p>
            <w:pPr>
              <w:pStyle w:val="1198"/>
              <w:ind w:left="31"/>
              <w:spacing w:before="273" w:line="221" w:lineRule="auto"/>
              <w:rPr>
                <w:lang w:eastAsia="en-US"/>
              </w:rPr>
            </w:pPr>
            <w:r>
              <w:rPr>
                <w:spacing w:val="-4"/>
                <w:lang w:eastAsia="en-US"/>
              </w:rPr>
              <w:t xml:space="preserve">岗位职责是否明确</w:t>
            </w:r>
            <w:r>
              <w:rPr>
                <w:lang w:eastAsia="en-US"/>
              </w:rPr>
            </w:r>
            <w:r/>
          </w:p>
        </w:tc>
        <w:tc>
          <w:tcPr>
            <w:tcW w:w="5208" w:type="dxa"/>
            <w:vAlign w:val="top"/>
            <w:textDirection w:val="lrTb"/>
            <w:noWrap w:val="false"/>
          </w:tcPr>
          <w:p>
            <w:pPr>
              <w:pStyle w:val="1198"/>
              <w:ind w:left="33"/>
              <w:spacing w:before="230" w:line="221" w:lineRule="auto"/>
            </w:pPr>
            <w:r>
              <w:rPr>
                <w:spacing w:val="6"/>
              </w:rPr>
              <w:t xml:space="preserve">岗位职责未制定或不健全的，每缺一项扣 1 分</w:t>
            </w:r>
            <w:r/>
          </w:p>
        </w:tc>
        <w:tc>
          <w:tcPr>
            <w:tcW w:w="724" w:type="dxa"/>
            <w:vAlign w:val="top"/>
            <w:textDirection w:val="lrTb"/>
            <w:noWrap w:val="false"/>
          </w:tcPr>
          <w:p>
            <w:pPr>
              <w:pStyle w:val="1011"/>
              <w:rPr>
                <w:rFonts w:eastAsia="Arial"/>
              </w:rPr>
            </w:pPr>
            <w:r>
              <w:rPr>
                <w:rFonts w:eastAsia="Arial"/>
              </w:rPr>
            </w:r>
            <w:r/>
          </w:p>
        </w:tc>
      </w:tr>
      <w:tr>
        <w:trPr>
          <w:cantSplit/>
          <w:trHeight w:val="686"/>
        </w:trPr>
        <w:tc>
          <w:tcPr>
            <w:tcBorders>
              <w:bottom w:val="none" w:color="000000" w:sz="4" w:space="0"/>
            </w:tcBorders>
            <w:tcW w:w="441" w:type="dxa"/>
            <w:vAlign w:val="top"/>
            <w:vMerge w:val="restart"/>
            <w:textDirection w:val="lrTb"/>
            <w:noWrap w:val="false"/>
          </w:tcPr>
          <w:p>
            <w:pPr>
              <w:pStyle w:val="1011"/>
              <w:spacing w:line="267" w:lineRule="auto"/>
              <w:rPr>
                <w:rFonts w:eastAsia="Arial"/>
              </w:rPr>
            </w:pPr>
            <w:r>
              <w:rPr>
                <w:rFonts w:eastAsia="Arial"/>
              </w:rPr>
            </w:r>
            <w:r/>
          </w:p>
          <w:p>
            <w:pPr>
              <w:pStyle w:val="1011"/>
              <w:spacing w:line="267" w:lineRule="auto"/>
              <w:rPr>
                <w:rFonts w:eastAsia="Arial"/>
              </w:rPr>
            </w:pPr>
            <w:r>
              <w:rPr>
                <w:rFonts w:eastAsia="Arial"/>
              </w:rPr>
            </w:r>
            <w:r/>
          </w:p>
          <w:p>
            <w:pPr>
              <w:pStyle w:val="1011"/>
              <w:spacing w:line="267" w:lineRule="auto"/>
              <w:rPr>
                <w:rFonts w:eastAsia="Arial"/>
              </w:rPr>
            </w:pPr>
            <w:r>
              <w:rPr>
                <w:rFonts w:eastAsia="Arial"/>
              </w:rPr>
            </w:r>
            <w:r/>
          </w:p>
          <w:p>
            <w:pPr>
              <w:pStyle w:val="1011"/>
              <w:spacing w:line="267" w:lineRule="auto"/>
              <w:rPr>
                <w:rFonts w:eastAsia="Arial"/>
              </w:rPr>
            </w:pPr>
            <w:r>
              <w:rPr>
                <w:rFonts w:eastAsia="Arial"/>
              </w:rPr>
            </w:r>
            <w:r/>
          </w:p>
          <w:p>
            <w:pPr>
              <w:pStyle w:val="1011"/>
              <w:spacing w:line="268" w:lineRule="auto"/>
              <w:rPr>
                <w:rFonts w:eastAsia="Arial"/>
              </w:rPr>
            </w:pPr>
            <w:r>
              <w:rPr>
                <w:rFonts w:eastAsia="Arial"/>
              </w:rPr>
            </w:r>
            <w:r/>
          </w:p>
          <w:p>
            <w:pPr>
              <w:pStyle w:val="1198"/>
              <w:ind w:left="176"/>
              <w:spacing w:before="68" w:line="277" w:lineRule="exact"/>
              <w:rPr>
                <w:lang w:eastAsia="en-US"/>
              </w:rPr>
            </w:pPr>
            <w:r>
              <w:rPr>
                <w:position w:val="1"/>
                <w:lang w:eastAsia="en-US"/>
              </w:rPr>
              <w:t xml:space="preserve">2</w:t>
            </w:r>
            <w:r>
              <w:rPr>
                <w:lang w:eastAsia="en-US"/>
              </w:rPr>
            </w:r>
            <w:r/>
          </w:p>
        </w:tc>
        <w:tc>
          <w:tcPr>
            <w:tcBorders>
              <w:bottom w:val="none" w:color="000000" w:sz="4" w:space="0"/>
            </w:tcBorders>
            <w:tcW w:w="595" w:type="dxa"/>
            <w:vAlign w:val="top"/>
            <w:vMerge w:val="restart"/>
            <w:textDirection w:val="lrTb"/>
            <w:noWrap w:val="false"/>
          </w:tcPr>
          <w:p>
            <w:pPr>
              <w:pStyle w:val="1011"/>
              <w:spacing w:line="288" w:lineRule="auto"/>
              <w:rPr>
                <w:rFonts w:eastAsia="Arial"/>
                <w:lang w:eastAsia="en-US"/>
              </w:rPr>
            </w:pPr>
            <w:r>
              <w:rPr>
                <w:rFonts w:eastAsia="Arial"/>
                <w:lang w:eastAsia="en-US"/>
              </w:rPr>
            </w:r>
            <w:r/>
          </w:p>
          <w:p>
            <w:pPr>
              <w:pStyle w:val="1011"/>
              <w:spacing w:line="288" w:lineRule="auto"/>
              <w:rPr>
                <w:rFonts w:eastAsia="Arial"/>
                <w:lang w:eastAsia="en-US"/>
              </w:rPr>
            </w:pPr>
            <w:r>
              <w:rPr>
                <w:rFonts w:eastAsia="Arial"/>
                <w:lang w:eastAsia="en-US"/>
              </w:rPr>
            </w:r>
            <w:r/>
          </w:p>
          <w:p>
            <w:pPr>
              <w:pStyle w:val="1011"/>
              <w:spacing w:line="288" w:lineRule="auto"/>
              <w:rPr>
                <w:rFonts w:eastAsia="Arial"/>
                <w:lang w:eastAsia="en-US"/>
              </w:rPr>
            </w:pPr>
            <w:r>
              <w:rPr>
                <w:rFonts w:eastAsia="Arial"/>
                <w:lang w:eastAsia="en-US"/>
              </w:rPr>
            </w:r>
            <w:r/>
          </w:p>
          <w:p>
            <w:pPr>
              <w:pStyle w:val="1011"/>
              <w:spacing w:line="289" w:lineRule="auto"/>
              <w:rPr>
                <w:rFonts w:eastAsia="Arial"/>
                <w:lang w:eastAsia="en-US"/>
              </w:rPr>
            </w:pPr>
            <w:r>
              <w:rPr>
                <w:rFonts w:eastAsia="Arial"/>
                <w:lang w:eastAsia="en-US"/>
              </w:rPr>
            </w:r>
            <w:r/>
          </w:p>
          <w:p>
            <w:pPr>
              <w:pStyle w:val="1198"/>
              <w:ind w:left="80"/>
              <w:spacing w:before="68" w:line="222" w:lineRule="auto"/>
              <w:rPr>
                <w:lang w:eastAsia="en-US"/>
              </w:rPr>
            </w:pPr>
            <w:r>
              <w:rPr>
                <w:spacing w:val="-4"/>
                <w:lang w:eastAsia="en-US"/>
              </w:rPr>
              <w:t xml:space="preserve">运行</w:t>
            </w:r>
            <w:r>
              <w:rPr>
                <w:lang w:eastAsia="en-US"/>
              </w:rPr>
            </w:r>
            <w:r/>
          </w:p>
          <w:p>
            <w:pPr>
              <w:pStyle w:val="1198"/>
              <w:ind w:left="87"/>
              <w:spacing w:before="110" w:line="221" w:lineRule="auto"/>
              <w:rPr>
                <w:lang w:eastAsia="en-US"/>
              </w:rPr>
            </w:pPr>
            <w:r>
              <w:rPr>
                <w:spacing w:val="-6"/>
                <w:lang w:eastAsia="en-US"/>
              </w:rPr>
              <w:t xml:space="preserve">管理</w:t>
            </w:r>
            <w:r>
              <w:rPr>
                <w:lang w:eastAsia="en-US"/>
              </w:rPr>
            </w:r>
            <w:r/>
          </w:p>
        </w:tc>
        <w:tc>
          <w:tcPr>
            <w:tcBorders>
              <w:bottom w:val="none" w:color="000000" w:sz="4" w:space="0"/>
            </w:tcBorders>
            <w:tcW w:w="1092" w:type="dxa"/>
            <w:vAlign w:val="top"/>
            <w:vMerge w:val="restart"/>
            <w:textDirection w:val="lrTb"/>
            <w:noWrap w:val="false"/>
          </w:tcPr>
          <w:p>
            <w:pPr>
              <w:pStyle w:val="1011"/>
              <w:spacing w:line="267" w:lineRule="auto"/>
              <w:rPr>
                <w:rFonts w:eastAsia="Arial"/>
                <w:lang w:eastAsia="en-US"/>
              </w:rPr>
            </w:pPr>
            <w:r>
              <w:rPr>
                <w:rFonts w:eastAsia="Arial"/>
                <w:lang w:eastAsia="en-US"/>
              </w:rPr>
            </w:r>
            <w:r/>
          </w:p>
          <w:p>
            <w:pPr>
              <w:pStyle w:val="1011"/>
              <w:spacing w:line="267" w:lineRule="auto"/>
              <w:rPr>
                <w:rFonts w:eastAsia="Arial"/>
                <w:lang w:eastAsia="en-US"/>
              </w:rPr>
            </w:pPr>
            <w:r>
              <w:rPr>
                <w:rFonts w:eastAsia="Arial"/>
                <w:lang w:eastAsia="en-US"/>
              </w:rPr>
            </w:r>
            <w:r/>
          </w:p>
          <w:p>
            <w:pPr>
              <w:pStyle w:val="1011"/>
              <w:spacing w:line="267" w:lineRule="auto"/>
              <w:rPr>
                <w:rFonts w:eastAsia="Arial"/>
                <w:lang w:eastAsia="en-US"/>
              </w:rPr>
            </w:pPr>
            <w:r>
              <w:rPr>
                <w:rFonts w:eastAsia="Arial"/>
                <w:lang w:eastAsia="en-US"/>
              </w:rPr>
            </w:r>
            <w:r/>
          </w:p>
          <w:p>
            <w:pPr>
              <w:pStyle w:val="1011"/>
              <w:spacing w:line="267" w:lineRule="auto"/>
              <w:rPr>
                <w:rFonts w:eastAsia="Arial"/>
                <w:lang w:eastAsia="en-US"/>
              </w:rPr>
            </w:pPr>
            <w:r>
              <w:rPr>
                <w:rFonts w:eastAsia="Arial"/>
                <w:lang w:eastAsia="en-US"/>
              </w:rPr>
            </w:r>
            <w:r/>
          </w:p>
          <w:p>
            <w:pPr>
              <w:pStyle w:val="1011"/>
              <w:spacing w:line="268" w:lineRule="auto"/>
              <w:rPr>
                <w:rFonts w:eastAsia="Arial"/>
                <w:lang w:eastAsia="en-US"/>
              </w:rPr>
            </w:pPr>
            <w:r>
              <w:rPr>
                <w:rFonts w:eastAsia="Arial"/>
                <w:lang w:eastAsia="en-US"/>
              </w:rPr>
            </w:r>
            <w:r/>
          </w:p>
          <w:p>
            <w:pPr>
              <w:pStyle w:val="1198"/>
              <w:ind w:left="173"/>
              <w:spacing w:before="68" w:line="242" w:lineRule="auto"/>
              <w:rPr>
                <w:lang w:eastAsia="en-US"/>
              </w:rPr>
            </w:pPr>
            <w:r>
              <w:rPr>
                <w:spacing w:val="-3"/>
                <w:lang w:eastAsia="en-US"/>
              </w:rPr>
              <w:t xml:space="preserve">30</w:t>
            </w:r>
            <w:r>
              <w:rPr>
                <w:lang w:eastAsia="en-US"/>
              </w:rPr>
            </w:r>
            <w:r/>
          </w:p>
        </w:tc>
        <w:tc>
          <w:tcPr>
            <w:tcW w:w="2329" w:type="dxa"/>
            <w:vAlign w:val="top"/>
            <w:textDirection w:val="lrTb"/>
            <w:noWrap w:val="false"/>
          </w:tcPr>
          <w:p>
            <w:pPr>
              <w:pStyle w:val="1198"/>
              <w:ind w:left="73" w:right="24"/>
              <w:spacing w:before="102" w:line="252" w:lineRule="auto"/>
            </w:pPr>
            <w:r>
              <w:rPr>
                <w:spacing w:val="21"/>
              </w:rPr>
              <w:t xml:space="preserve">是否依据标准建立处理设施</w:t>
            </w:r>
            <w:r>
              <w:rPr>
                <w:spacing w:val="8"/>
              </w:rPr>
              <w:t xml:space="preserve">工艺运行管理技术规程</w:t>
            </w:r>
            <w:r/>
          </w:p>
        </w:tc>
        <w:tc>
          <w:tcPr>
            <w:tcW w:w="5208" w:type="dxa"/>
            <w:vAlign w:val="top"/>
            <w:textDirection w:val="lrTb"/>
            <w:noWrap w:val="false"/>
          </w:tcPr>
          <w:p>
            <w:pPr>
              <w:pStyle w:val="1198"/>
              <w:ind w:left="13"/>
              <w:spacing w:before="304" w:line="221" w:lineRule="auto"/>
              <w:rPr>
                <w:lang w:eastAsia="en-US"/>
              </w:rPr>
            </w:pPr>
            <w:r>
              <w:rPr>
                <w:spacing w:val="8"/>
                <w:lang w:eastAsia="en-US"/>
              </w:rPr>
              <w:t xml:space="preserve">未制定技术规程扣5分</w:t>
            </w:r>
            <w:r>
              <w:rPr>
                <w:lang w:eastAsia="en-US"/>
              </w:rPr>
            </w:r>
            <w:r/>
          </w:p>
        </w:tc>
        <w:tc>
          <w:tcPr>
            <w:tcW w:w="724" w:type="dxa"/>
            <w:vAlign w:val="top"/>
            <w:textDirection w:val="lrTb"/>
            <w:noWrap w:val="false"/>
          </w:tcPr>
          <w:p>
            <w:pPr>
              <w:pStyle w:val="1011"/>
              <w:rPr>
                <w:rFonts w:eastAsia="Arial"/>
                <w:lang w:eastAsia="en-US"/>
              </w:rPr>
            </w:pPr>
            <w:r>
              <w:rPr>
                <w:rFonts w:eastAsia="Arial"/>
                <w:lang w:eastAsia="en-US"/>
              </w:rPr>
            </w:r>
            <w:r/>
          </w:p>
        </w:tc>
      </w:tr>
      <w:tr>
        <w:trPr>
          <w:cantSplit/>
          <w:trHeight w:val="686"/>
        </w:trPr>
        <w:tc>
          <w:tcPr>
            <w:tcBorders>
              <w:top w:val="none" w:color="000000" w:sz="4" w:space="0"/>
              <w:bottom w:val="none" w:color="000000" w:sz="4" w:space="0"/>
            </w:tcBorders>
            <w:tcW w:w="441" w:type="dxa"/>
            <w:vAlign w:val="top"/>
            <w:vMerge w:val="continue"/>
            <w:textDirection w:val="lrTb"/>
            <w:noWrap w:val="false"/>
          </w:tcPr>
          <w:p>
            <w:pPr>
              <w:pStyle w:val="1011"/>
              <w:rPr>
                <w:rFonts w:eastAsia="Arial"/>
                <w:lang w:eastAsia="en-US"/>
              </w:rPr>
            </w:pPr>
            <w:r>
              <w:rPr>
                <w:rFonts w:eastAsia="Arial"/>
                <w:lang w:eastAsia="en-US"/>
              </w:rPr>
            </w:r>
            <w:r/>
          </w:p>
        </w:tc>
        <w:tc>
          <w:tcPr>
            <w:tcBorders>
              <w:top w:val="none" w:color="000000" w:sz="4" w:space="0"/>
              <w:bottom w:val="none" w:color="000000" w:sz="4" w:space="0"/>
            </w:tcBorders>
            <w:tcW w:w="595" w:type="dxa"/>
            <w:vAlign w:val="top"/>
            <w:vMerge w:val="continue"/>
            <w:textDirection w:val="lrTb"/>
            <w:noWrap w:val="false"/>
          </w:tcPr>
          <w:p>
            <w:pPr>
              <w:pStyle w:val="1011"/>
              <w:rPr>
                <w:rFonts w:eastAsia="Arial"/>
                <w:lang w:eastAsia="en-US"/>
              </w:rPr>
            </w:pPr>
            <w:r>
              <w:rPr>
                <w:rFonts w:eastAsia="Arial"/>
                <w:lang w:eastAsia="en-US"/>
              </w:rPr>
            </w:r>
            <w:r/>
          </w:p>
        </w:tc>
        <w:tc>
          <w:tcPr>
            <w:tcBorders>
              <w:top w:val="none" w:color="000000" w:sz="4" w:space="0"/>
              <w:bottom w:val="none" w:color="000000" w:sz="4" w:space="0"/>
            </w:tcBorders>
            <w:tcW w:w="1092" w:type="dxa"/>
            <w:vAlign w:val="top"/>
            <w:vMerge w:val="continue"/>
            <w:textDirection w:val="lrTb"/>
            <w:noWrap w:val="false"/>
          </w:tcPr>
          <w:p>
            <w:pPr>
              <w:pStyle w:val="1011"/>
              <w:rPr>
                <w:rFonts w:eastAsia="Arial"/>
                <w:lang w:eastAsia="en-US"/>
              </w:rPr>
            </w:pPr>
            <w:r>
              <w:rPr>
                <w:rFonts w:eastAsia="Arial"/>
                <w:lang w:eastAsia="en-US"/>
              </w:rPr>
            </w:r>
            <w:r/>
          </w:p>
        </w:tc>
        <w:tc>
          <w:tcPr>
            <w:tcW w:w="2329" w:type="dxa"/>
            <w:vAlign w:val="top"/>
            <w:textDirection w:val="lrTb"/>
            <w:noWrap w:val="false"/>
          </w:tcPr>
          <w:p>
            <w:pPr>
              <w:pStyle w:val="1011"/>
              <w:spacing w:line="278" w:lineRule="auto"/>
              <w:rPr>
                <w:rFonts w:eastAsia="Arial"/>
                <w:lang w:eastAsia="en-US"/>
              </w:rPr>
            </w:pPr>
            <w:r>
              <w:rPr>
                <w:rFonts w:eastAsia="Arial"/>
                <w:lang w:eastAsia="en-US"/>
              </w:rPr>
            </w:r>
            <w:r/>
          </w:p>
          <w:p>
            <w:pPr>
              <w:pStyle w:val="1198"/>
              <w:ind w:left="8"/>
              <w:spacing w:before="68" w:line="221" w:lineRule="auto"/>
              <w:rPr>
                <w:lang w:eastAsia="en-US"/>
              </w:rPr>
            </w:pPr>
            <w:r>
              <w:rPr>
                <w:spacing w:val="-2"/>
                <w:lang w:eastAsia="en-US"/>
              </w:rPr>
              <w:t xml:space="preserve">运行记录和统计报表</w:t>
            </w:r>
            <w:r>
              <w:rPr>
                <w:lang w:eastAsia="en-US"/>
              </w:rPr>
            </w:r>
            <w:r/>
          </w:p>
        </w:tc>
        <w:tc>
          <w:tcPr>
            <w:tcW w:w="5208" w:type="dxa"/>
            <w:vAlign w:val="top"/>
            <w:textDirection w:val="lrTb"/>
            <w:noWrap w:val="false"/>
          </w:tcPr>
          <w:p>
            <w:pPr>
              <w:pStyle w:val="1198"/>
              <w:ind w:left="39" w:right="21"/>
              <w:spacing w:before="111" w:line="248" w:lineRule="auto"/>
            </w:pPr>
            <w:r>
              <w:rPr>
                <w:spacing w:val="11"/>
              </w:rPr>
              <w:t xml:space="preserve">是否有现场巡查制度、记录以及相关资料，缺一项扣</w:t>
            </w:r>
            <w:r>
              <w:rPr>
                <w:spacing w:val="-6"/>
              </w:rPr>
              <w:t xml:space="preserve">2分</w:t>
            </w:r>
            <w:r/>
          </w:p>
        </w:tc>
        <w:tc>
          <w:tcPr>
            <w:tcW w:w="724" w:type="dxa"/>
            <w:vAlign w:val="top"/>
            <w:textDirection w:val="lrTb"/>
            <w:noWrap w:val="false"/>
          </w:tcPr>
          <w:p>
            <w:pPr>
              <w:pStyle w:val="1011"/>
              <w:rPr>
                <w:rFonts w:eastAsia="Arial"/>
              </w:rPr>
            </w:pPr>
            <w:r>
              <w:rPr>
                <w:rFonts w:eastAsia="Arial"/>
              </w:rPr>
            </w:r>
            <w:r/>
          </w:p>
        </w:tc>
      </w:tr>
      <w:tr>
        <w:trPr>
          <w:cantSplit/>
          <w:trHeight w:val="914"/>
        </w:trPr>
        <w:tc>
          <w:tcPr>
            <w:tcBorders>
              <w:top w:val="none" w:color="000000" w:sz="4" w:space="0"/>
              <w:bottom w:val="none" w:color="000000" w:sz="4" w:space="0"/>
            </w:tcBorders>
            <w:tcW w:w="441" w:type="dxa"/>
            <w:vAlign w:val="top"/>
            <w:vMerge w:val="continue"/>
            <w:textDirection w:val="lrTb"/>
            <w:noWrap w:val="false"/>
          </w:tcPr>
          <w:p>
            <w:pPr>
              <w:pStyle w:val="1011"/>
              <w:rPr>
                <w:rFonts w:eastAsia="Arial"/>
              </w:rPr>
            </w:pPr>
            <w:r>
              <w:rPr>
                <w:rFonts w:eastAsia="Arial"/>
              </w:rPr>
            </w:r>
            <w:r/>
          </w:p>
        </w:tc>
        <w:tc>
          <w:tcPr>
            <w:tcBorders>
              <w:top w:val="none" w:color="000000" w:sz="4" w:space="0"/>
              <w:bottom w:val="none" w:color="000000" w:sz="4" w:space="0"/>
            </w:tcBorders>
            <w:tcW w:w="595" w:type="dxa"/>
            <w:vAlign w:val="top"/>
            <w:vMerge w:val="continue"/>
            <w:textDirection w:val="lrTb"/>
            <w:noWrap w:val="false"/>
          </w:tcPr>
          <w:p>
            <w:pPr>
              <w:pStyle w:val="1011"/>
              <w:rPr>
                <w:rFonts w:eastAsia="Arial"/>
              </w:rPr>
            </w:pPr>
            <w:r>
              <w:rPr>
                <w:rFonts w:eastAsia="Arial"/>
              </w:rPr>
            </w:r>
            <w:r/>
          </w:p>
        </w:tc>
        <w:tc>
          <w:tcPr>
            <w:tcBorders>
              <w:top w:val="none" w:color="000000" w:sz="4" w:space="0"/>
              <w:bottom w:val="none" w:color="000000" w:sz="4" w:space="0"/>
            </w:tcBorders>
            <w:tcW w:w="1092" w:type="dxa"/>
            <w:vAlign w:val="top"/>
            <w:vMerge w:val="continue"/>
            <w:textDirection w:val="lrTb"/>
            <w:noWrap w:val="false"/>
          </w:tcPr>
          <w:p>
            <w:pPr>
              <w:pStyle w:val="1011"/>
              <w:rPr>
                <w:rFonts w:eastAsia="Arial"/>
              </w:rPr>
            </w:pPr>
            <w:r>
              <w:rPr>
                <w:rFonts w:eastAsia="Arial"/>
              </w:rPr>
            </w:r>
            <w:r/>
          </w:p>
        </w:tc>
        <w:tc>
          <w:tcPr>
            <w:tcW w:w="2329" w:type="dxa"/>
            <w:vAlign w:val="top"/>
            <w:textDirection w:val="lrTb"/>
            <w:noWrap w:val="false"/>
          </w:tcPr>
          <w:p>
            <w:pPr>
              <w:pStyle w:val="1011"/>
              <w:spacing w:line="349" w:lineRule="auto"/>
              <w:rPr>
                <w:rFonts w:eastAsia="Arial"/>
              </w:rPr>
            </w:pPr>
            <w:r>
              <w:rPr>
                <w:rFonts w:eastAsia="Arial"/>
              </w:rPr>
            </w:r>
            <w:r/>
          </w:p>
          <w:p>
            <w:pPr>
              <w:pStyle w:val="1198"/>
              <w:ind w:left="12"/>
              <w:spacing w:before="69" w:line="221" w:lineRule="auto"/>
              <w:rPr>
                <w:lang w:eastAsia="en-US"/>
              </w:rPr>
            </w:pPr>
            <w:r>
              <w:rPr>
                <w:spacing w:val="-5"/>
                <w:lang w:eastAsia="en-US"/>
              </w:rPr>
              <w:t xml:space="preserve">管网管理情况</w:t>
            </w:r>
            <w:r>
              <w:rPr>
                <w:lang w:eastAsia="en-US"/>
              </w:rPr>
            </w:r>
            <w:r/>
          </w:p>
        </w:tc>
        <w:tc>
          <w:tcPr>
            <w:tcW w:w="5208" w:type="dxa"/>
            <w:vAlign w:val="top"/>
            <w:textDirection w:val="lrTb"/>
            <w:noWrap w:val="false"/>
          </w:tcPr>
          <w:p>
            <w:pPr>
              <w:pStyle w:val="1198"/>
              <w:ind w:left="35" w:right="9" w:firstLine="5"/>
              <w:spacing w:before="218" w:line="274" w:lineRule="auto"/>
            </w:pPr>
            <w:r>
              <w:rPr>
                <w:spacing w:val="4"/>
              </w:rPr>
              <w:t xml:space="preserve">管渠是否畅通，管渠周边是否有覆盖物，管渠是否会有</w:t>
            </w:r>
            <w:r>
              <w:rPr>
                <w:spacing w:val="7"/>
              </w:rPr>
              <w:t xml:space="preserve">破损，是否有管渠的维修记录，缺一项扣2分</w:t>
            </w:r>
            <w:r/>
          </w:p>
        </w:tc>
        <w:tc>
          <w:tcPr>
            <w:tcW w:w="724" w:type="dxa"/>
            <w:vAlign w:val="top"/>
            <w:textDirection w:val="lrTb"/>
            <w:noWrap w:val="false"/>
          </w:tcPr>
          <w:p>
            <w:pPr>
              <w:pStyle w:val="1011"/>
              <w:rPr>
                <w:rFonts w:eastAsia="Arial"/>
              </w:rPr>
            </w:pPr>
            <w:r>
              <w:rPr>
                <w:rFonts w:eastAsia="Arial"/>
              </w:rPr>
            </w:r>
            <w:r/>
          </w:p>
        </w:tc>
      </w:tr>
      <w:tr>
        <w:trPr>
          <w:cantSplit/>
          <w:trHeight w:val="686"/>
        </w:trPr>
        <w:tc>
          <w:tcPr>
            <w:tcBorders>
              <w:top w:val="none" w:color="000000" w:sz="4" w:space="0"/>
            </w:tcBorders>
            <w:tcW w:w="441" w:type="dxa"/>
            <w:vAlign w:val="top"/>
            <w:vMerge w:val="continue"/>
            <w:textDirection w:val="lrTb"/>
            <w:noWrap w:val="false"/>
          </w:tcPr>
          <w:p>
            <w:pPr>
              <w:pStyle w:val="1011"/>
              <w:rPr>
                <w:rFonts w:eastAsia="Arial"/>
              </w:rPr>
            </w:pPr>
            <w:r>
              <w:rPr>
                <w:rFonts w:eastAsia="Arial"/>
              </w:rPr>
            </w:r>
            <w:r/>
          </w:p>
        </w:tc>
        <w:tc>
          <w:tcPr>
            <w:tcBorders>
              <w:top w:val="none" w:color="000000" w:sz="4" w:space="0"/>
            </w:tcBorders>
            <w:tcW w:w="595" w:type="dxa"/>
            <w:vAlign w:val="top"/>
            <w:vMerge w:val="continue"/>
            <w:textDirection w:val="lrTb"/>
            <w:noWrap w:val="false"/>
          </w:tcPr>
          <w:p>
            <w:pPr>
              <w:pStyle w:val="1011"/>
              <w:rPr>
                <w:rFonts w:eastAsia="Arial"/>
              </w:rPr>
            </w:pPr>
            <w:r>
              <w:rPr>
                <w:rFonts w:eastAsia="Arial"/>
              </w:rPr>
            </w:r>
            <w:r/>
          </w:p>
        </w:tc>
        <w:tc>
          <w:tcPr>
            <w:tcBorders>
              <w:top w:val="none" w:color="000000" w:sz="4" w:space="0"/>
            </w:tcBorders>
            <w:tcW w:w="1092" w:type="dxa"/>
            <w:vAlign w:val="top"/>
            <w:vMerge w:val="continue"/>
            <w:textDirection w:val="lrTb"/>
            <w:noWrap w:val="false"/>
          </w:tcPr>
          <w:p>
            <w:pPr>
              <w:pStyle w:val="1011"/>
              <w:rPr>
                <w:rFonts w:eastAsia="Arial"/>
              </w:rPr>
            </w:pPr>
            <w:r>
              <w:rPr>
                <w:rFonts w:eastAsia="Arial"/>
              </w:rPr>
            </w:r>
            <w:r/>
          </w:p>
        </w:tc>
        <w:tc>
          <w:tcPr>
            <w:tcW w:w="2329" w:type="dxa"/>
            <w:vAlign w:val="top"/>
            <w:textDirection w:val="lrTb"/>
            <w:noWrap w:val="false"/>
          </w:tcPr>
          <w:p>
            <w:pPr>
              <w:pStyle w:val="1011"/>
              <w:spacing w:line="276" w:lineRule="auto"/>
              <w:rPr>
                <w:rFonts w:eastAsia="Arial"/>
              </w:rPr>
            </w:pPr>
            <w:r>
              <w:rPr>
                <w:rFonts w:eastAsia="Arial"/>
              </w:rPr>
            </w:r>
            <w:r/>
          </w:p>
          <w:p>
            <w:pPr>
              <w:pStyle w:val="1198"/>
              <w:ind w:left="10"/>
              <w:spacing w:before="68" w:line="221" w:lineRule="auto"/>
              <w:rPr>
                <w:lang w:eastAsia="en-US"/>
              </w:rPr>
            </w:pPr>
            <w:r>
              <w:rPr>
                <w:spacing w:val="-3"/>
                <w:lang w:eastAsia="en-US"/>
              </w:rPr>
              <w:t xml:space="preserve">生产运行情况</w:t>
            </w:r>
            <w:r>
              <w:rPr>
                <w:lang w:eastAsia="en-US"/>
              </w:rPr>
            </w:r>
            <w:r/>
          </w:p>
        </w:tc>
        <w:tc>
          <w:tcPr>
            <w:tcW w:w="5208" w:type="dxa"/>
            <w:vAlign w:val="top"/>
            <w:textDirection w:val="lrTb"/>
            <w:noWrap w:val="false"/>
          </w:tcPr>
          <w:p>
            <w:pPr>
              <w:pStyle w:val="1198"/>
              <w:ind w:left="37" w:right="53" w:hanging="1"/>
              <w:spacing w:before="100" w:line="253" w:lineRule="auto"/>
            </w:pPr>
            <w:r>
              <w:rPr>
                <w:spacing w:val="12"/>
              </w:rPr>
              <w:t xml:space="preserve">根据统计报表检查处理设施的运行是否与实际吻合，</w:t>
            </w:r>
            <w:r>
              <w:rPr>
                <w:spacing w:val="9"/>
              </w:rPr>
              <w:t xml:space="preserve">现场设备是否运行良好，缺一项扣 5分</w:t>
            </w:r>
            <w:r/>
          </w:p>
        </w:tc>
        <w:tc>
          <w:tcPr>
            <w:tcW w:w="724" w:type="dxa"/>
            <w:vAlign w:val="top"/>
            <w:textDirection w:val="lrTb"/>
            <w:noWrap w:val="false"/>
          </w:tcPr>
          <w:p>
            <w:pPr>
              <w:pStyle w:val="1011"/>
              <w:rPr>
                <w:rFonts w:eastAsia="Arial"/>
              </w:rPr>
            </w:pPr>
            <w:r>
              <w:rPr>
                <w:rFonts w:eastAsia="Arial"/>
              </w:rPr>
            </w:r>
            <w:r/>
          </w:p>
        </w:tc>
      </w:tr>
      <w:tr>
        <w:trPr>
          <w:cantSplit/>
          <w:trHeight w:val="624"/>
        </w:trPr>
        <w:tc>
          <w:tcPr>
            <w:tcW w:w="441" w:type="dxa"/>
            <w:vAlign w:val="top"/>
            <w:vMerge w:val="restart"/>
            <w:textDirection w:val="lrTb"/>
            <w:noWrap w:val="false"/>
          </w:tcPr>
          <w:p>
            <w:pPr>
              <w:pStyle w:val="1011"/>
              <w:spacing w:line="290" w:lineRule="auto"/>
              <w:rPr>
                <w:rFonts w:eastAsia="Arial"/>
              </w:rPr>
            </w:pPr>
            <w:r>
              <w:rPr>
                <w:rFonts w:eastAsia="Arial"/>
              </w:rPr>
            </w:r>
            <w:r/>
          </w:p>
          <w:p>
            <w:pPr>
              <w:pStyle w:val="1011"/>
              <w:spacing w:line="290" w:lineRule="auto"/>
              <w:rPr>
                <w:rFonts w:eastAsia="Arial"/>
              </w:rPr>
            </w:pPr>
            <w:r>
              <w:rPr>
                <w:rFonts w:eastAsia="Arial"/>
              </w:rPr>
            </w:r>
            <w:r/>
          </w:p>
          <w:p>
            <w:pPr>
              <w:pStyle w:val="1198"/>
              <w:ind w:left="177"/>
              <w:spacing w:before="69" w:line="242" w:lineRule="auto"/>
              <w:rPr>
                <w:lang w:eastAsia="en-US"/>
              </w:rPr>
            </w:pPr>
            <w:r>
              <w:rPr>
                <w:lang w:eastAsia="en-US"/>
              </w:rPr>
              <w:t xml:space="preserve">3</w:t>
            </w:r>
            <w:r/>
          </w:p>
        </w:tc>
        <w:tc>
          <w:tcPr>
            <w:tcW w:w="595" w:type="dxa"/>
            <w:vAlign w:val="top"/>
            <w:vMerge w:val="restart"/>
            <w:textDirection w:val="lrTb"/>
            <w:noWrap w:val="false"/>
          </w:tcPr>
          <w:p>
            <w:pPr>
              <w:pStyle w:val="1011"/>
              <w:spacing w:line="426" w:lineRule="auto"/>
              <w:rPr>
                <w:rFonts w:eastAsia="Arial"/>
                <w:lang w:eastAsia="en-US"/>
              </w:rPr>
            </w:pPr>
            <w:r>
              <w:rPr>
                <w:rFonts w:eastAsia="Arial"/>
                <w:lang w:eastAsia="en-US"/>
              </w:rPr>
            </w:r>
            <w:r/>
          </w:p>
          <w:p>
            <w:pPr>
              <w:pStyle w:val="1198"/>
              <w:ind w:left="78"/>
              <w:spacing w:before="68" w:line="221" w:lineRule="auto"/>
              <w:rPr>
                <w:lang w:eastAsia="en-US"/>
              </w:rPr>
            </w:pPr>
            <w:r>
              <w:rPr>
                <w:spacing w:val="2"/>
                <w:lang w:eastAsia="en-US"/>
              </w:rPr>
              <w:t xml:space="preserve">水质</w:t>
            </w:r>
            <w:r>
              <w:rPr>
                <w:lang w:eastAsia="en-US"/>
              </w:rPr>
            </w:r>
            <w:r/>
          </w:p>
          <w:p>
            <w:pPr>
              <w:pStyle w:val="1198"/>
              <w:ind w:left="99"/>
              <w:spacing w:before="60" w:line="221" w:lineRule="auto"/>
              <w:rPr>
                <w:lang w:eastAsia="en-US"/>
              </w:rPr>
            </w:pPr>
            <w:r>
              <w:rPr>
                <w:spacing w:val="-6"/>
                <w:lang w:eastAsia="en-US"/>
              </w:rPr>
              <w:t xml:space="preserve">管理</w:t>
            </w:r>
            <w:r>
              <w:rPr>
                <w:lang w:eastAsia="en-US"/>
              </w:rPr>
            </w:r>
            <w:r/>
          </w:p>
        </w:tc>
        <w:tc>
          <w:tcPr>
            <w:tcW w:w="1092" w:type="dxa"/>
            <w:vAlign w:val="top"/>
            <w:vMerge w:val="restart"/>
            <w:textDirection w:val="lrTb"/>
            <w:noWrap w:val="false"/>
          </w:tcPr>
          <w:p>
            <w:pPr>
              <w:pStyle w:val="1011"/>
              <w:spacing w:line="290" w:lineRule="auto"/>
              <w:rPr>
                <w:rFonts w:eastAsia="Arial"/>
                <w:lang w:eastAsia="en-US"/>
              </w:rPr>
            </w:pPr>
            <w:r>
              <w:rPr>
                <w:rFonts w:eastAsia="Arial"/>
                <w:lang w:eastAsia="en-US"/>
              </w:rPr>
            </w:r>
            <w:r/>
          </w:p>
          <w:p>
            <w:pPr>
              <w:pStyle w:val="1011"/>
              <w:spacing w:line="290" w:lineRule="auto"/>
              <w:rPr>
                <w:rFonts w:eastAsia="Arial"/>
                <w:lang w:eastAsia="en-US"/>
              </w:rPr>
            </w:pPr>
            <w:r>
              <w:rPr>
                <w:rFonts w:eastAsia="Arial"/>
                <w:lang w:eastAsia="en-US"/>
              </w:rPr>
            </w:r>
            <w:r/>
          </w:p>
          <w:p>
            <w:pPr>
              <w:pStyle w:val="1198"/>
              <w:ind w:left="173"/>
              <w:spacing w:before="69" w:line="242" w:lineRule="auto"/>
              <w:rPr>
                <w:lang w:eastAsia="en-US"/>
              </w:rPr>
            </w:pPr>
            <w:r>
              <w:rPr>
                <w:spacing w:val="-3"/>
                <w:lang w:eastAsia="en-US"/>
              </w:rPr>
              <w:t xml:space="preserve">30</w:t>
            </w:r>
            <w:r>
              <w:rPr>
                <w:lang w:eastAsia="en-US"/>
              </w:rPr>
            </w:r>
            <w:r/>
          </w:p>
        </w:tc>
        <w:tc>
          <w:tcPr>
            <w:tcW w:w="2329" w:type="dxa"/>
            <w:vAlign w:val="top"/>
            <w:textDirection w:val="lrTb"/>
            <w:noWrap w:val="false"/>
          </w:tcPr>
          <w:p>
            <w:pPr>
              <w:pStyle w:val="1198"/>
              <w:ind w:left="70"/>
              <w:spacing w:before="274" w:line="221" w:lineRule="auto"/>
            </w:pPr>
            <w:r>
              <w:rPr>
                <w:spacing w:val="-2"/>
              </w:rPr>
              <w:t xml:space="preserve">抽检预报表及原始报表</w:t>
            </w:r>
            <w:r/>
          </w:p>
        </w:tc>
        <w:tc>
          <w:tcPr>
            <w:tcW w:w="5208" w:type="dxa"/>
            <w:vAlign w:val="top"/>
            <w:textDirection w:val="lrTb"/>
            <w:noWrap w:val="false"/>
          </w:tcPr>
          <w:p>
            <w:pPr>
              <w:pStyle w:val="1198"/>
              <w:ind w:left="13"/>
              <w:spacing w:before="233" w:line="221" w:lineRule="auto"/>
            </w:pPr>
            <w:r>
              <w:rPr>
                <w:spacing w:val="7"/>
              </w:rPr>
              <w:t xml:space="preserve">是否有检测报表，检测报表不真实，每一项扣 1分</w:t>
            </w:r>
            <w:r/>
          </w:p>
        </w:tc>
        <w:tc>
          <w:tcPr>
            <w:tcW w:w="724" w:type="dxa"/>
            <w:vAlign w:val="top"/>
            <w:textDirection w:val="lrTb"/>
            <w:noWrap w:val="false"/>
          </w:tcPr>
          <w:p>
            <w:pPr>
              <w:pStyle w:val="1011"/>
              <w:rPr>
                <w:rFonts w:eastAsia="Arial"/>
              </w:rPr>
            </w:pPr>
            <w:r>
              <w:rPr>
                <w:rFonts w:eastAsia="Arial"/>
              </w:rPr>
            </w:r>
            <w:r/>
          </w:p>
        </w:tc>
      </w:tr>
      <w:tr>
        <w:trPr>
          <w:cantSplit/>
          <w:trHeight w:val="839"/>
        </w:trPr>
        <w:tc>
          <w:tcPr>
            <w:tcW w:w="441" w:type="dxa"/>
            <w:vAlign w:val="top"/>
            <w:vMerge w:val="continue"/>
            <w:textDirection w:val="lrTb"/>
            <w:noWrap w:val="false"/>
          </w:tcPr>
          <w:p>
            <w:pPr>
              <w:pStyle w:val="1011"/>
              <w:rPr>
                <w:rFonts w:eastAsia="Arial"/>
              </w:rPr>
            </w:pPr>
            <w:r>
              <w:rPr>
                <w:rFonts w:eastAsia="Arial"/>
              </w:rPr>
            </w:r>
            <w:r/>
          </w:p>
        </w:tc>
        <w:tc>
          <w:tcPr>
            <w:tcW w:w="595" w:type="dxa"/>
            <w:vAlign w:val="top"/>
            <w:vMerge w:val="continue"/>
            <w:textDirection w:val="lrTb"/>
            <w:noWrap w:val="false"/>
          </w:tcPr>
          <w:p>
            <w:pPr>
              <w:pStyle w:val="1011"/>
              <w:rPr>
                <w:rFonts w:eastAsia="Arial"/>
              </w:rPr>
            </w:pPr>
            <w:r>
              <w:rPr>
                <w:rFonts w:eastAsia="Arial"/>
              </w:rPr>
            </w:r>
            <w:r/>
          </w:p>
        </w:tc>
        <w:tc>
          <w:tcPr>
            <w:tcW w:w="1092" w:type="dxa"/>
            <w:vAlign w:val="top"/>
            <w:vMerge w:val="continue"/>
            <w:textDirection w:val="lrTb"/>
            <w:noWrap w:val="false"/>
          </w:tcPr>
          <w:p>
            <w:pPr>
              <w:pStyle w:val="1011"/>
              <w:rPr>
                <w:rFonts w:eastAsia="Arial"/>
              </w:rPr>
            </w:pPr>
            <w:r>
              <w:rPr>
                <w:rFonts w:eastAsia="Arial"/>
              </w:rPr>
            </w:r>
            <w:r/>
          </w:p>
        </w:tc>
        <w:tc>
          <w:tcPr>
            <w:tcW w:w="2329" w:type="dxa"/>
            <w:vAlign w:val="top"/>
            <w:textDirection w:val="lrTb"/>
            <w:noWrap w:val="false"/>
          </w:tcPr>
          <w:p>
            <w:pPr>
              <w:pStyle w:val="1198"/>
              <w:ind w:left="8" w:right="19" w:firstLine="3"/>
              <w:spacing w:before="214" w:line="270" w:lineRule="auto"/>
            </w:pPr>
            <w:r>
              <w:rPr>
                <w:spacing w:val="18"/>
              </w:rPr>
              <w:t xml:space="preserve">是否按检测周期出具第三方</w:t>
            </w:r>
            <w:r>
              <w:rPr>
                <w:spacing w:val="12"/>
              </w:rPr>
              <w:t xml:space="preserve">检测报告</w:t>
            </w:r>
            <w:r/>
          </w:p>
        </w:tc>
        <w:tc>
          <w:tcPr>
            <w:tcW w:w="5208" w:type="dxa"/>
            <w:vAlign w:val="top"/>
            <w:textDirection w:val="lrTb"/>
            <w:noWrap w:val="false"/>
          </w:tcPr>
          <w:p>
            <w:pPr>
              <w:pStyle w:val="1198"/>
              <w:ind w:left="41" w:right="9" w:hanging="5"/>
              <w:spacing w:before="188" w:line="274" w:lineRule="auto"/>
            </w:pPr>
            <w:r>
              <w:rPr>
                <w:spacing w:val="5"/>
              </w:rPr>
              <w:t xml:space="preserve">检测周期未按要求执行的，检测报表不完整</w:t>
            </w:r>
            <w:r>
              <w:rPr>
                <w:spacing w:val="4"/>
              </w:rPr>
              <w:t xml:space="preserve">、记录不规范，缺一项扣 5 分</w:t>
            </w:r>
            <w:r/>
          </w:p>
        </w:tc>
        <w:tc>
          <w:tcPr>
            <w:tcW w:w="724" w:type="dxa"/>
            <w:vAlign w:val="top"/>
            <w:textDirection w:val="lrTb"/>
            <w:noWrap w:val="false"/>
          </w:tcPr>
          <w:p>
            <w:pPr>
              <w:pStyle w:val="1011"/>
              <w:rPr>
                <w:rFonts w:eastAsia="Arial"/>
              </w:rPr>
            </w:pPr>
            <w:r>
              <w:rPr>
                <w:rFonts w:eastAsia="Arial"/>
              </w:rPr>
            </w:r>
            <w:r/>
          </w:p>
        </w:tc>
      </w:tr>
      <w:tr>
        <w:trPr>
          <w:cantSplit/>
          <w:trHeight w:val="839"/>
        </w:trPr>
        <w:tc>
          <w:tcPr>
            <w:tcW w:w="441" w:type="dxa"/>
            <w:vAlign w:val="top"/>
            <w:vMerge w:val="continue"/>
            <w:textDirection w:val="lrTb"/>
            <w:noWrap w:val="false"/>
          </w:tcPr>
          <w:p>
            <w:pPr>
              <w:pStyle w:val="1011"/>
              <w:rPr>
                <w:rFonts w:eastAsia="Arial"/>
              </w:rPr>
            </w:pPr>
            <w:r>
              <w:rPr>
                <w:rFonts w:eastAsia="Arial"/>
              </w:rPr>
            </w:r>
            <w:r/>
          </w:p>
        </w:tc>
        <w:tc>
          <w:tcPr>
            <w:tcW w:w="595" w:type="dxa"/>
            <w:vAlign w:val="top"/>
            <w:vMerge w:val="continue"/>
            <w:textDirection w:val="lrTb"/>
            <w:noWrap w:val="false"/>
          </w:tcPr>
          <w:p>
            <w:pPr>
              <w:pStyle w:val="1011"/>
              <w:rPr>
                <w:rFonts w:eastAsia="Arial"/>
              </w:rPr>
            </w:pPr>
            <w:r>
              <w:rPr>
                <w:rFonts w:eastAsia="Arial"/>
              </w:rPr>
            </w:r>
            <w:r/>
          </w:p>
        </w:tc>
        <w:tc>
          <w:tcPr>
            <w:tcW w:w="1092" w:type="dxa"/>
            <w:vAlign w:val="top"/>
            <w:vMerge w:val="continue"/>
            <w:textDirection w:val="lrTb"/>
            <w:noWrap w:val="false"/>
          </w:tcPr>
          <w:p>
            <w:pPr>
              <w:pStyle w:val="1011"/>
              <w:rPr>
                <w:rFonts w:eastAsia="Arial"/>
              </w:rPr>
            </w:pPr>
            <w:r>
              <w:rPr>
                <w:rFonts w:eastAsia="Arial"/>
              </w:rPr>
            </w:r>
            <w:r/>
          </w:p>
        </w:tc>
        <w:tc>
          <w:tcPr>
            <w:tcW w:w="2329" w:type="dxa"/>
            <w:vAlign w:val="top"/>
            <w:textDirection w:val="lrTb"/>
            <w:noWrap w:val="false"/>
          </w:tcPr>
          <w:p>
            <w:pPr>
              <w:pStyle w:val="1198"/>
              <w:ind w:left="8" w:right="19" w:firstLine="3"/>
              <w:spacing w:before="214" w:line="270" w:lineRule="auto"/>
              <w:rPr>
                <w:spacing w:val="18"/>
              </w:rPr>
            </w:pPr>
            <w:r>
              <w:rPr>
                <w:rFonts w:hint="eastAsia"/>
                <w:lang w:eastAsia="en-US"/>
              </w:rPr>
              <w:t xml:space="preserve">异味检测</w:t>
            </w:r>
            <w:r>
              <w:rPr>
                <w:spacing w:val="18"/>
              </w:rPr>
            </w:r>
            <w:r/>
          </w:p>
        </w:tc>
        <w:tc>
          <w:tcPr>
            <w:tcW w:w="5208" w:type="dxa"/>
            <w:vAlign w:val="top"/>
            <w:textDirection w:val="lrTb"/>
            <w:noWrap w:val="false"/>
          </w:tcPr>
          <w:p>
            <w:pPr>
              <w:pStyle w:val="1198"/>
              <w:ind w:left="41" w:right="9" w:hanging="5"/>
              <w:spacing w:before="188" w:line="274" w:lineRule="auto"/>
              <w:rPr>
                <w:spacing w:val="5"/>
              </w:rPr>
            </w:pPr>
            <w:r>
              <w:rPr>
                <w:rFonts w:hint="eastAsia"/>
              </w:rPr>
              <w:t xml:space="preserve">无明显异味不扣分；有异味，影响周边环境扣2分；有严重异味不得分。</w:t>
            </w:r>
            <w:r>
              <w:rPr>
                <w:spacing w:val="5"/>
              </w:rPr>
            </w:r>
            <w:r/>
          </w:p>
        </w:tc>
        <w:tc>
          <w:tcPr>
            <w:tcW w:w="724" w:type="dxa"/>
            <w:vAlign w:val="top"/>
            <w:textDirection w:val="lrTb"/>
            <w:noWrap w:val="false"/>
          </w:tcPr>
          <w:p>
            <w:pPr>
              <w:pStyle w:val="1011"/>
              <w:rPr>
                <w:rFonts w:eastAsia="Arial"/>
              </w:rPr>
            </w:pPr>
            <w:r>
              <w:rPr>
                <w:rFonts w:eastAsia="Arial"/>
              </w:rPr>
            </w:r>
            <w:r/>
          </w:p>
        </w:tc>
      </w:tr>
      <w:tr>
        <w:trPr>
          <w:cantSplit/>
          <w:trHeight w:val="1432"/>
        </w:trPr>
        <w:tc>
          <w:tcPr>
            <w:tcBorders>
              <w:bottom w:val="none" w:color="000000" w:sz="4" w:space="0"/>
            </w:tcBorders>
            <w:tcW w:w="441" w:type="dxa"/>
            <w:vAlign w:val="top"/>
            <w:vMerge w:val="restart"/>
            <w:textDirection w:val="lrTb"/>
            <w:noWrap w:val="false"/>
          </w:tcPr>
          <w:p>
            <w:pPr>
              <w:pStyle w:val="1011"/>
              <w:spacing w:line="297" w:lineRule="auto"/>
              <w:rPr>
                <w:rFonts w:eastAsia="Arial"/>
              </w:rPr>
            </w:pPr>
            <w:r>
              <w:rPr>
                <w:rFonts w:eastAsia="Arial"/>
              </w:rPr>
            </w:r>
            <w:r/>
          </w:p>
          <w:p>
            <w:pPr>
              <w:pStyle w:val="1011"/>
              <w:spacing w:line="297" w:lineRule="auto"/>
              <w:rPr>
                <w:rFonts w:eastAsia="Arial"/>
              </w:rPr>
            </w:pPr>
            <w:r>
              <w:rPr>
                <w:rFonts w:eastAsia="Arial"/>
              </w:rPr>
            </w:r>
            <w:r/>
          </w:p>
          <w:p>
            <w:pPr>
              <w:pStyle w:val="1011"/>
              <w:spacing w:line="298" w:lineRule="auto"/>
              <w:rPr>
                <w:rFonts w:eastAsia="Arial"/>
              </w:rPr>
            </w:pPr>
            <w:r>
              <w:rPr>
                <w:rFonts w:eastAsia="Arial"/>
              </w:rPr>
            </w:r>
            <w:r/>
          </w:p>
          <w:p>
            <w:pPr>
              <w:pStyle w:val="1011"/>
              <w:spacing w:line="298" w:lineRule="auto"/>
              <w:rPr>
                <w:rFonts w:eastAsia="Arial"/>
              </w:rPr>
            </w:pPr>
            <w:r>
              <w:rPr>
                <w:rFonts w:eastAsia="Arial"/>
              </w:rPr>
            </w:r>
            <w:r/>
          </w:p>
          <w:p>
            <w:pPr>
              <w:pStyle w:val="1198"/>
              <w:ind w:left="230"/>
              <w:spacing w:before="68" w:line="276" w:lineRule="exact"/>
              <w:rPr>
                <w:lang w:eastAsia="en-US"/>
              </w:rPr>
            </w:pPr>
            <w:r>
              <w:rPr>
                <w:position w:val="1"/>
                <w:lang w:eastAsia="en-US"/>
              </w:rPr>
              <w:t xml:space="preserve">4</w:t>
            </w:r>
            <w:r>
              <w:rPr>
                <w:lang w:eastAsia="en-US"/>
              </w:rPr>
            </w:r>
            <w:r/>
          </w:p>
        </w:tc>
        <w:tc>
          <w:tcPr>
            <w:tcBorders>
              <w:bottom w:val="none" w:color="000000" w:sz="4" w:space="0"/>
            </w:tcBorders>
            <w:tcW w:w="595" w:type="dxa"/>
            <w:vAlign w:val="top"/>
            <w:vMerge w:val="restart"/>
            <w:textDirection w:val="lrTb"/>
            <w:noWrap w:val="false"/>
          </w:tcPr>
          <w:p>
            <w:pPr>
              <w:pStyle w:val="1011"/>
              <w:spacing w:line="250" w:lineRule="auto"/>
              <w:rPr>
                <w:rFonts w:eastAsia="Arial"/>
                <w:lang w:eastAsia="en-US"/>
              </w:rPr>
            </w:pPr>
            <w:r>
              <w:rPr>
                <w:rFonts w:eastAsia="Arial"/>
                <w:lang w:eastAsia="en-US"/>
              </w:rPr>
            </w:r>
            <w:r/>
          </w:p>
          <w:p>
            <w:pPr>
              <w:pStyle w:val="1011"/>
              <w:spacing w:line="250" w:lineRule="auto"/>
              <w:rPr>
                <w:rFonts w:eastAsia="Arial"/>
                <w:lang w:eastAsia="en-US"/>
              </w:rPr>
            </w:pPr>
            <w:r>
              <w:rPr>
                <w:rFonts w:eastAsia="Arial"/>
                <w:lang w:eastAsia="en-US"/>
              </w:rPr>
            </w:r>
            <w:r/>
          </w:p>
          <w:p>
            <w:pPr>
              <w:pStyle w:val="1011"/>
              <w:spacing w:line="250" w:lineRule="auto"/>
              <w:rPr>
                <w:rFonts w:eastAsia="Arial"/>
                <w:lang w:eastAsia="en-US"/>
              </w:rPr>
            </w:pPr>
            <w:r>
              <w:rPr>
                <w:rFonts w:eastAsia="Arial"/>
                <w:lang w:eastAsia="en-US"/>
              </w:rPr>
            </w:r>
            <w:r/>
          </w:p>
          <w:p>
            <w:pPr>
              <w:pStyle w:val="1011"/>
              <w:spacing w:line="251" w:lineRule="auto"/>
              <w:rPr>
                <w:rFonts w:eastAsia="Arial"/>
                <w:lang w:eastAsia="en-US"/>
              </w:rPr>
            </w:pPr>
            <w:r>
              <w:rPr>
                <w:rFonts w:eastAsia="Arial"/>
                <w:lang w:eastAsia="en-US"/>
              </w:rPr>
            </w:r>
            <w:r/>
          </w:p>
          <w:p>
            <w:pPr>
              <w:pStyle w:val="1198"/>
              <w:ind w:left="91"/>
              <w:spacing w:before="68" w:line="223" w:lineRule="auto"/>
              <w:rPr>
                <w:lang w:eastAsia="en-US"/>
              </w:rPr>
            </w:pPr>
            <w:r>
              <w:rPr>
                <w:spacing w:val="-5"/>
                <w:lang w:eastAsia="en-US"/>
              </w:rPr>
              <w:t xml:space="preserve">设备</w:t>
            </w:r>
            <w:r>
              <w:rPr>
                <w:lang w:eastAsia="en-US"/>
              </w:rPr>
            </w:r>
            <w:r/>
          </w:p>
          <w:p>
            <w:pPr>
              <w:pStyle w:val="1198"/>
              <w:ind w:left="92"/>
              <w:spacing w:before="121" w:line="221" w:lineRule="auto"/>
              <w:rPr>
                <w:lang w:eastAsia="en-US"/>
              </w:rPr>
            </w:pPr>
            <w:r>
              <w:rPr>
                <w:spacing w:val="-6"/>
                <w:lang w:eastAsia="en-US"/>
              </w:rPr>
              <w:t xml:space="preserve">管理</w:t>
            </w:r>
            <w:r>
              <w:rPr>
                <w:lang w:eastAsia="en-US"/>
              </w:rPr>
            </w:r>
            <w:r/>
          </w:p>
        </w:tc>
        <w:tc>
          <w:tcPr>
            <w:tcBorders>
              <w:bottom w:val="none" w:color="000000" w:sz="4" w:space="0"/>
            </w:tcBorders>
            <w:tcW w:w="1092" w:type="dxa"/>
            <w:vAlign w:val="top"/>
            <w:vMerge w:val="restart"/>
            <w:textDirection w:val="lrTb"/>
            <w:noWrap w:val="false"/>
          </w:tcPr>
          <w:p>
            <w:pPr>
              <w:pStyle w:val="1011"/>
              <w:spacing w:line="297" w:lineRule="auto"/>
              <w:rPr>
                <w:rFonts w:eastAsia="Arial"/>
                <w:lang w:eastAsia="en-US"/>
              </w:rPr>
            </w:pPr>
            <w:r>
              <w:rPr>
                <w:rFonts w:eastAsia="Arial"/>
                <w:lang w:eastAsia="en-US"/>
              </w:rPr>
            </w:r>
            <w:r/>
          </w:p>
          <w:p>
            <w:pPr>
              <w:pStyle w:val="1011"/>
              <w:spacing w:line="297" w:lineRule="auto"/>
              <w:rPr>
                <w:rFonts w:eastAsia="Arial"/>
                <w:lang w:eastAsia="en-US"/>
              </w:rPr>
            </w:pPr>
            <w:r>
              <w:rPr>
                <w:rFonts w:eastAsia="Arial"/>
                <w:lang w:eastAsia="en-US"/>
              </w:rPr>
            </w:r>
            <w:r/>
          </w:p>
          <w:p>
            <w:pPr>
              <w:pStyle w:val="1011"/>
              <w:spacing w:line="297" w:lineRule="auto"/>
              <w:rPr>
                <w:rFonts w:eastAsia="Arial"/>
                <w:lang w:eastAsia="en-US"/>
              </w:rPr>
            </w:pPr>
            <w:r>
              <w:rPr>
                <w:rFonts w:eastAsia="Arial"/>
                <w:lang w:eastAsia="en-US"/>
              </w:rPr>
            </w:r>
            <w:r/>
          </w:p>
          <w:p>
            <w:pPr>
              <w:pStyle w:val="1011"/>
              <w:spacing w:line="298" w:lineRule="auto"/>
              <w:rPr>
                <w:rFonts w:eastAsia="Arial"/>
                <w:lang w:eastAsia="en-US"/>
              </w:rPr>
            </w:pPr>
            <w:r>
              <w:rPr>
                <w:rFonts w:eastAsia="Arial"/>
                <w:lang w:eastAsia="en-US"/>
              </w:rPr>
            </w:r>
            <w:r/>
          </w:p>
          <w:p>
            <w:pPr>
              <w:pStyle w:val="1198"/>
              <w:ind w:left="190"/>
              <w:spacing w:before="68" w:line="242" w:lineRule="auto"/>
              <w:rPr>
                <w:lang w:eastAsia="en-US"/>
              </w:rPr>
            </w:pPr>
            <w:r>
              <w:rPr>
                <w:spacing w:val="-7"/>
                <w:lang w:eastAsia="en-US"/>
              </w:rPr>
              <w:t xml:space="preserve">10</w:t>
            </w:r>
            <w:r>
              <w:rPr>
                <w:lang w:eastAsia="en-US"/>
              </w:rPr>
            </w:r>
            <w:r/>
          </w:p>
        </w:tc>
        <w:tc>
          <w:tcPr>
            <w:tcW w:w="2329" w:type="dxa"/>
            <w:vAlign w:val="top"/>
            <w:textDirection w:val="lrTb"/>
            <w:noWrap w:val="false"/>
          </w:tcPr>
          <w:p>
            <w:pPr>
              <w:pStyle w:val="1011"/>
              <w:spacing w:line="464" w:lineRule="auto"/>
              <w:rPr>
                <w:rFonts w:eastAsia="Arial"/>
              </w:rPr>
            </w:pPr>
            <w:r>
              <w:rPr>
                <w:rFonts w:eastAsia="Arial"/>
              </w:rPr>
            </w:r>
            <w:r/>
          </w:p>
          <w:p>
            <w:pPr>
              <w:pStyle w:val="1198"/>
              <w:ind w:left="13" w:right="21" w:hanging="1"/>
              <w:spacing w:before="68" w:line="325" w:lineRule="auto"/>
            </w:pPr>
            <w:r>
              <w:rPr>
                <w:spacing w:val="22"/>
              </w:rPr>
              <w:t xml:space="preserve">是否按规定建立设备完好率</w:t>
            </w:r>
            <w:r>
              <w:rPr>
                <w:spacing w:val="14"/>
              </w:rPr>
              <w:t xml:space="preserve">统计表和设备档案</w:t>
            </w:r>
            <w:r/>
          </w:p>
        </w:tc>
        <w:tc>
          <w:tcPr>
            <w:tcW w:w="5208" w:type="dxa"/>
            <w:vAlign w:val="top"/>
            <w:textDirection w:val="lrTb"/>
            <w:noWrap w:val="false"/>
          </w:tcPr>
          <w:p>
            <w:pPr>
              <w:pStyle w:val="1198"/>
              <w:ind w:left="35" w:right="2" w:firstLine="4"/>
              <w:jc w:val="both"/>
              <w:spacing w:before="111" w:line="288" w:lineRule="auto"/>
            </w:pPr>
            <w:r>
              <w:rPr>
                <w:spacing w:val="4"/>
              </w:rPr>
              <w:t xml:space="preserve">未按规定建立设备完好率统计表、未按规定建立设备档案的， 其中不完整、不规范每处扣 0.5 分。未按要求</w:t>
            </w:r>
            <w:r>
              <w:rPr>
                <w:spacing w:val="2"/>
              </w:rPr>
              <w:t xml:space="preserve">对全部设备、主要工艺设备和无备用工艺设备完好率进</w:t>
            </w:r>
            <w:r>
              <w:rPr>
                <w:spacing w:val="11"/>
              </w:rPr>
              <w:t xml:space="preserve">行分类的每项扣 1分</w:t>
            </w:r>
            <w:r/>
          </w:p>
        </w:tc>
        <w:tc>
          <w:tcPr>
            <w:tcW w:w="724" w:type="dxa"/>
            <w:vAlign w:val="top"/>
            <w:textDirection w:val="lrTb"/>
            <w:noWrap w:val="false"/>
          </w:tcPr>
          <w:p>
            <w:pPr>
              <w:pStyle w:val="1011"/>
              <w:rPr>
                <w:rFonts w:eastAsia="Arial"/>
              </w:rPr>
            </w:pPr>
            <w:r>
              <w:rPr>
                <w:rFonts w:eastAsia="Arial"/>
              </w:rPr>
            </w:r>
            <w:r/>
          </w:p>
        </w:tc>
      </w:tr>
      <w:tr>
        <w:trPr>
          <w:cantSplit/>
          <w:trHeight w:val="624"/>
        </w:trPr>
        <w:tc>
          <w:tcPr>
            <w:tcBorders>
              <w:top w:val="none" w:color="000000" w:sz="4" w:space="0"/>
              <w:bottom w:val="none" w:color="000000" w:sz="4" w:space="0"/>
            </w:tcBorders>
            <w:tcW w:w="441" w:type="dxa"/>
            <w:vAlign w:val="top"/>
            <w:vMerge w:val="continue"/>
            <w:textDirection w:val="lrTb"/>
            <w:noWrap w:val="false"/>
          </w:tcPr>
          <w:p>
            <w:pPr>
              <w:pStyle w:val="1011"/>
              <w:rPr>
                <w:rFonts w:eastAsia="Arial"/>
              </w:rPr>
            </w:pPr>
            <w:r>
              <w:rPr>
                <w:rFonts w:eastAsia="Arial"/>
              </w:rPr>
            </w:r>
            <w:r/>
          </w:p>
        </w:tc>
        <w:tc>
          <w:tcPr>
            <w:tcBorders>
              <w:top w:val="none" w:color="000000" w:sz="4" w:space="0"/>
              <w:bottom w:val="none" w:color="000000" w:sz="4" w:space="0"/>
            </w:tcBorders>
            <w:tcW w:w="595" w:type="dxa"/>
            <w:vAlign w:val="top"/>
            <w:vMerge w:val="continue"/>
            <w:textDirection w:val="lrTb"/>
            <w:noWrap w:val="false"/>
          </w:tcPr>
          <w:p>
            <w:pPr>
              <w:pStyle w:val="1011"/>
              <w:rPr>
                <w:rFonts w:eastAsia="Arial"/>
              </w:rPr>
            </w:pPr>
            <w:r>
              <w:rPr>
                <w:rFonts w:eastAsia="Arial"/>
              </w:rPr>
            </w:r>
            <w:r/>
          </w:p>
        </w:tc>
        <w:tc>
          <w:tcPr>
            <w:tcBorders>
              <w:top w:val="none" w:color="000000" w:sz="4" w:space="0"/>
              <w:bottom w:val="none" w:color="000000" w:sz="4" w:space="0"/>
            </w:tcBorders>
            <w:tcW w:w="1092" w:type="dxa"/>
            <w:vAlign w:val="top"/>
            <w:vMerge w:val="continue"/>
            <w:textDirection w:val="lrTb"/>
            <w:noWrap w:val="false"/>
          </w:tcPr>
          <w:p>
            <w:pPr>
              <w:pStyle w:val="1011"/>
              <w:rPr>
                <w:rFonts w:eastAsia="Arial"/>
              </w:rPr>
            </w:pPr>
            <w:r>
              <w:rPr>
                <w:rFonts w:eastAsia="Arial"/>
              </w:rPr>
            </w:r>
            <w:r/>
          </w:p>
        </w:tc>
        <w:tc>
          <w:tcPr>
            <w:tcW w:w="2329" w:type="dxa"/>
            <w:vAlign w:val="top"/>
            <w:textDirection w:val="lrTb"/>
            <w:noWrap w:val="false"/>
          </w:tcPr>
          <w:p>
            <w:pPr>
              <w:pStyle w:val="1198"/>
              <w:ind w:left="74"/>
              <w:spacing w:before="189" w:line="221" w:lineRule="auto"/>
            </w:pPr>
            <w:r>
              <w:rPr>
                <w:spacing w:val="10"/>
              </w:rPr>
              <w:t xml:space="preserve">设备检修和更新改造计划</w:t>
            </w:r>
            <w:r/>
          </w:p>
        </w:tc>
        <w:tc>
          <w:tcPr>
            <w:tcW w:w="5208" w:type="dxa"/>
            <w:vAlign w:val="top"/>
            <w:textDirection w:val="lrTb"/>
            <w:noWrap w:val="false"/>
          </w:tcPr>
          <w:p>
            <w:pPr>
              <w:pStyle w:val="1198"/>
              <w:ind w:left="13"/>
              <w:spacing w:before="112" w:line="221" w:lineRule="auto"/>
            </w:pPr>
            <w:r>
              <w:rPr>
                <w:spacing w:val="11"/>
              </w:rPr>
              <w:t xml:space="preserve">未制定合理的设备月度、年度检修计划的扣 2分</w:t>
            </w:r>
            <w:r/>
          </w:p>
        </w:tc>
        <w:tc>
          <w:tcPr>
            <w:tcW w:w="724" w:type="dxa"/>
            <w:vAlign w:val="top"/>
            <w:textDirection w:val="lrTb"/>
            <w:noWrap w:val="false"/>
          </w:tcPr>
          <w:p>
            <w:pPr>
              <w:pStyle w:val="1011"/>
              <w:rPr>
                <w:rFonts w:eastAsia="Arial"/>
              </w:rPr>
            </w:pPr>
            <w:r>
              <w:rPr>
                <w:rFonts w:eastAsia="Arial"/>
              </w:rPr>
            </w:r>
            <w:r/>
          </w:p>
        </w:tc>
      </w:tr>
      <w:tr>
        <w:trPr>
          <w:cantSplit/>
          <w:trHeight w:val="623"/>
        </w:trPr>
        <w:tc>
          <w:tcPr>
            <w:tcBorders>
              <w:top w:val="none" w:color="000000" w:sz="4" w:space="0"/>
            </w:tcBorders>
            <w:tcW w:w="441" w:type="dxa"/>
            <w:vAlign w:val="top"/>
            <w:vMerge w:val="continue"/>
            <w:textDirection w:val="lrTb"/>
            <w:noWrap w:val="false"/>
          </w:tcPr>
          <w:p>
            <w:pPr>
              <w:pStyle w:val="1011"/>
              <w:rPr>
                <w:rFonts w:eastAsia="Arial"/>
              </w:rPr>
            </w:pPr>
            <w:r>
              <w:rPr>
                <w:rFonts w:eastAsia="Arial"/>
              </w:rPr>
            </w:r>
            <w:r/>
          </w:p>
        </w:tc>
        <w:tc>
          <w:tcPr>
            <w:tcBorders>
              <w:top w:val="none" w:color="000000" w:sz="4" w:space="0"/>
            </w:tcBorders>
            <w:tcW w:w="595" w:type="dxa"/>
            <w:vAlign w:val="top"/>
            <w:vMerge w:val="continue"/>
            <w:textDirection w:val="lrTb"/>
            <w:noWrap w:val="false"/>
          </w:tcPr>
          <w:p>
            <w:pPr>
              <w:pStyle w:val="1011"/>
              <w:rPr>
                <w:rFonts w:eastAsia="Arial"/>
              </w:rPr>
            </w:pPr>
            <w:r>
              <w:rPr>
                <w:rFonts w:eastAsia="Arial"/>
              </w:rPr>
            </w:r>
            <w:r/>
          </w:p>
        </w:tc>
        <w:tc>
          <w:tcPr>
            <w:tcBorders>
              <w:top w:val="none" w:color="000000" w:sz="4" w:space="0"/>
            </w:tcBorders>
            <w:tcW w:w="1092" w:type="dxa"/>
            <w:vAlign w:val="top"/>
            <w:vMerge w:val="continue"/>
            <w:textDirection w:val="lrTb"/>
            <w:noWrap w:val="false"/>
          </w:tcPr>
          <w:p>
            <w:pPr>
              <w:pStyle w:val="1011"/>
              <w:rPr>
                <w:rFonts w:eastAsia="Arial"/>
              </w:rPr>
            </w:pPr>
            <w:r>
              <w:rPr>
                <w:rFonts w:eastAsia="Arial"/>
              </w:rPr>
            </w:r>
            <w:r/>
          </w:p>
        </w:tc>
        <w:tc>
          <w:tcPr>
            <w:tcW w:w="2329" w:type="dxa"/>
            <w:vAlign w:val="top"/>
            <w:textDirection w:val="lrTb"/>
            <w:noWrap w:val="false"/>
          </w:tcPr>
          <w:p>
            <w:pPr>
              <w:pStyle w:val="1198"/>
              <w:ind w:left="12"/>
              <w:spacing w:before="188" w:line="222" w:lineRule="auto"/>
              <w:rPr>
                <w:lang w:eastAsia="en-US"/>
              </w:rPr>
            </w:pPr>
            <w:r>
              <w:rPr>
                <w:spacing w:val="-3"/>
                <w:lang w:eastAsia="en-US"/>
              </w:rPr>
              <w:t xml:space="preserve">设备实际运行情况</w:t>
            </w:r>
            <w:r>
              <w:rPr>
                <w:lang w:eastAsia="en-US"/>
              </w:rPr>
            </w:r>
            <w:r/>
          </w:p>
        </w:tc>
        <w:tc>
          <w:tcPr>
            <w:tcW w:w="5208" w:type="dxa"/>
            <w:vAlign w:val="top"/>
            <w:textDirection w:val="lrTb"/>
            <w:noWrap w:val="false"/>
          </w:tcPr>
          <w:p>
            <w:pPr>
              <w:pStyle w:val="1198"/>
              <w:ind w:left="13"/>
              <w:spacing w:before="97" w:line="222" w:lineRule="auto"/>
            </w:pPr>
            <w:r>
              <w:rPr>
                <w:spacing w:val="3"/>
              </w:rPr>
              <w:t xml:space="preserve">设备实际运行情况与资料不吻合扣2分</w:t>
            </w:r>
            <w:r/>
          </w:p>
        </w:tc>
        <w:tc>
          <w:tcPr>
            <w:tcW w:w="724" w:type="dxa"/>
            <w:vAlign w:val="top"/>
            <w:textDirection w:val="lrTb"/>
            <w:noWrap w:val="false"/>
          </w:tcPr>
          <w:p>
            <w:pPr>
              <w:pStyle w:val="1011"/>
              <w:rPr>
                <w:rFonts w:eastAsia="Arial"/>
              </w:rPr>
            </w:pPr>
            <w:r>
              <w:rPr>
                <w:rFonts w:eastAsia="Arial"/>
              </w:rPr>
            </w:r>
            <w:r/>
          </w:p>
        </w:tc>
      </w:tr>
      <w:tr>
        <w:trPr>
          <w:cantSplit/>
          <w:trHeight w:val="739"/>
        </w:trPr>
        <w:tc>
          <w:tcPr>
            <w:tcBorders>
              <w:bottom w:val="none" w:color="000000" w:sz="4" w:space="0"/>
            </w:tcBorders>
            <w:tcW w:w="441" w:type="dxa"/>
            <w:vAlign w:val="top"/>
            <w:vMerge w:val="restart"/>
            <w:textDirection w:val="lrTb"/>
            <w:noWrap w:val="false"/>
          </w:tcPr>
          <w:p>
            <w:pPr>
              <w:pStyle w:val="1011"/>
              <w:spacing w:line="284" w:lineRule="auto"/>
              <w:rPr>
                <w:rFonts w:eastAsia="Arial"/>
              </w:rPr>
            </w:pPr>
            <w:r>
              <w:rPr>
                <w:rFonts w:eastAsia="Arial"/>
              </w:rPr>
            </w:r>
            <w:r/>
          </w:p>
          <w:p>
            <w:pPr>
              <w:pStyle w:val="1011"/>
              <w:spacing w:line="284" w:lineRule="auto"/>
              <w:rPr>
                <w:rFonts w:eastAsia="Arial"/>
              </w:rPr>
            </w:pPr>
            <w:r>
              <w:rPr>
                <w:rFonts w:eastAsia="Arial"/>
              </w:rPr>
            </w:r>
            <w:r/>
          </w:p>
          <w:p>
            <w:pPr>
              <w:pStyle w:val="1011"/>
              <w:spacing w:line="284" w:lineRule="auto"/>
              <w:rPr>
                <w:rFonts w:eastAsia="Arial"/>
              </w:rPr>
            </w:pPr>
            <w:r>
              <w:rPr>
                <w:rFonts w:eastAsia="Arial"/>
              </w:rPr>
            </w:r>
            <w:r/>
          </w:p>
          <w:p>
            <w:pPr>
              <w:pStyle w:val="1198"/>
              <w:ind w:left="235"/>
              <w:spacing w:before="68" w:line="242" w:lineRule="auto"/>
              <w:rPr>
                <w:lang w:eastAsia="en-US"/>
              </w:rPr>
            </w:pPr>
            <w:r>
              <w:rPr>
                <w:lang w:eastAsia="en-US"/>
              </w:rPr>
              <w:t xml:space="preserve">5</w:t>
            </w:r>
            <w:r/>
          </w:p>
        </w:tc>
        <w:tc>
          <w:tcPr>
            <w:tcBorders>
              <w:bottom w:val="none" w:color="000000" w:sz="4" w:space="0"/>
            </w:tcBorders>
            <w:tcW w:w="595" w:type="dxa"/>
            <w:vAlign w:val="top"/>
            <w:vMerge w:val="restart"/>
            <w:textDirection w:val="lrTb"/>
            <w:noWrap w:val="false"/>
          </w:tcPr>
          <w:p>
            <w:pPr>
              <w:pStyle w:val="1011"/>
              <w:spacing w:line="331" w:lineRule="auto"/>
              <w:rPr>
                <w:rFonts w:eastAsia="Arial"/>
                <w:lang w:eastAsia="en-US"/>
              </w:rPr>
            </w:pPr>
            <w:r>
              <w:rPr>
                <w:rFonts w:eastAsia="Arial"/>
                <w:lang w:eastAsia="en-US"/>
              </w:rPr>
            </w:r>
            <w:r/>
          </w:p>
          <w:p>
            <w:pPr>
              <w:pStyle w:val="1011"/>
              <w:spacing w:line="332" w:lineRule="auto"/>
              <w:rPr>
                <w:rFonts w:eastAsia="Arial"/>
                <w:lang w:eastAsia="en-US"/>
              </w:rPr>
            </w:pPr>
            <w:r>
              <w:rPr>
                <w:rFonts w:eastAsia="Arial"/>
                <w:lang w:eastAsia="en-US"/>
              </w:rPr>
            </w:r>
            <w:r/>
          </w:p>
          <w:p>
            <w:pPr>
              <w:pStyle w:val="1198"/>
              <w:ind w:left="84"/>
              <w:spacing w:before="69" w:line="223" w:lineRule="auto"/>
              <w:rPr>
                <w:lang w:eastAsia="en-US"/>
              </w:rPr>
            </w:pPr>
            <w:r>
              <w:rPr>
                <w:spacing w:val="-6"/>
                <w:lang w:eastAsia="en-US"/>
              </w:rPr>
              <w:t xml:space="preserve">安全</w:t>
            </w:r>
            <w:r>
              <w:rPr>
                <w:lang w:eastAsia="en-US"/>
              </w:rPr>
            </w:r>
            <w:r/>
          </w:p>
          <w:p>
            <w:pPr>
              <w:pStyle w:val="1198"/>
              <w:ind w:left="84"/>
              <w:spacing w:before="121" w:line="221" w:lineRule="auto"/>
              <w:rPr>
                <w:lang w:eastAsia="en-US"/>
              </w:rPr>
            </w:pPr>
            <w:r>
              <w:rPr>
                <w:spacing w:val="-6"/>
                <w:lang w:eastAsia="en-US"/>
              </w:rPr>
              <w:t xml:space="preserve">管理</w:t>
            </w:r>
            <w:r>
              <w:rPr>
                <w:lang w:eastAsia="en-US"/>
              </w:rPr>
            </w:r>
            <w:r/>
          </w:p>
        </w:tc>
        <w:tc>
          <w:tcPr>
            <w:tcBorders>
              <w:bottom w:val="none" w:color="000000" w:sz="4" w:space="0"/>
            </w:tcBorders>
            <w:tcW w:w="1092" w:type="dxa"/>
            <w:vAlign w:val="top"/>
            <w:vMerge w:val="restart"/>
            <w:textDirection w:val="lrTb"/>
            <w:noWrap w:val="false"/>
          </w:tcPr>
          <w:p>
            <w:pPr>
              <w:pStyle w:val="1011"/>
              <w:spacing w:line="284" w:lineRule="auto"/>
              <w:rPr>
                <w:rFonts w:eastAsia="Arial"/>
                <w:lang w:eastAsia="en-US"/>
              </w:rPr>
            </w:pPr>
            <w:r>
              <w:rPr>
                <w:rFonts w:eastAsia="Arial"/>
                <w:lang w:eastAsia="en-US"/>
              </w:rPr>
            </w:r>
            <w:r/>
          </w:p>
          <w:p>
            <w:pPr>
              <w:pStyle w:val="1011"/>
              <w:spacing w:line="284" w:lineRule="auto"/>
              <w:rPr>
                <w:rFonts w:eastAsia="Arial"/>
                <w:lang w:eastAsia="en-US"/>
              </w:rPr>
            </w:pPr>
            <w:r>
              <w:rPr>
                <w:rFonts w:eastAsia="Arial"/>
                <w:lang w:eastAsia="en-US"/>
              </w:rPr>
            </w:r>
            <w:r/>
          </w:p>
          <w:p>
            <w:pPr>
              <w:pStyle w:val="1011"/>
              <w:spacing w:line="284" w:lineRule="auto"/>
              <w:rPr>
                <w:rFonts w:eastAsia="Arial"/>
                <w:lang w:eastAsia="en-US"/>
              </w:rPr>
            </w:pPr>
            <w:r>
              <w:rPr>
                <w:rFonts w:eastAsia="Arial"/>
                <w:lang w:eastAsia="en-US"/>
              </w:rPr>
            </w:r>
            <w:r/>
          </w:p>
          <w:p>
            <w:pPr>
              <w:pStyle w:val="1198"/>
              <w:ind w:left="226"/>
              <w:spacing w:before="68" w:line="242" w:lineRule="auto"/>
              <w:rPr>
                <w:lang w:eastAsia="en-US"/>
              </w:rPr>
            </w:pPr>
            <w:r>
              <w:rPr>
                <w:lang w:eastAsia="en-US"/>
              </w:rPr>
              <w:t xml:space="preserve">5</w:t>
            </w:r>
            <w:r/>
          </w:p>
        </w:tc>
        <w:tc>
          <w:tcPr>
            <w:tcW w:w="2329" w:type="dxa"/>
            <w:vAlign w:val="top"/>
            <w:textDirection w:val="lrTb"/>
            <w:noWrap w:val="false"/>
          </w:tcPr>
          <w:p>
            <w:pPr>
              <w:pStyle w:val="1198"/>
              <w:ind w:left="38"/>
              <w:spacing w:before="112" w:line="222" w:lineRule="auto"/>
            </w:pPr>
            <w:r>
              <w:rPr>
                <w:spacing w:val="6"/>
              </w:rPr>
              <w:t xml:space="preserve">是否制定相应的应急预案</w:t>
            </w:r>
            <w:r/>
          </w:p>
        </w:tc>
        <w:tc>
          <w:tcPr>
            <w:tcW w:w="5208" w:type="dxa"/>
            <w:vAlign w:val="top"/>
            <w:textDirection w:val="lrTb"/>
            <w:noWrap w:val="false"/>
          </w:tcPr>
          <w:p>
            <w:pPr>
              <w:pStyle w:val="1198"/>
              <w:ind w:left="36" w:firstLine="3"/>
              <w:spacing w:before="112" w:line="271" w:lineRule="auto"/>
            </w:pPr>
            <w:r>
              <w:rPr>
                <w:spacing w:val="2"/>
              </w:rPr>
              <w:t xml:space="preserve">未制定相应应急预案，扣 3分，其中不规范、欠完善，</w:t>
            </w:r>
            <w:r>
              <w:rPr>
                <w:spacing w:val="-3"/>
              </w:rPr>
              <w:t xml:space="preserve">每项扣1分</w:t>
            </w:r>
            <w:r/>
          </w:p>
        </w:tc>
        <w:tc>
          <w:tcPr>
            <w:tcW w:w="724" w:type="dxa"/>
            <w:vAlign w:val="top"/>
            <w:textDirection w:val="lrTb"/>
            <w:noWrap w:val="false"/>
          </w:tcPr>
          <w:p>
            <w:pPr>
              <w:pStyle w:val="1011"/>
              <w:rPr>
                <w:rFonts w:eastAsia="Arial"/>
              </w:rPr>
            </w:pPr>
            <w:r>
              <w:rPr>
                <w:rFonts w:eastAsia="Arial"/>
              </w:rPr>
            </w:r>
            <w:r/>
          </w:p>
        </w:tc>
      </w:tr>
      <w:tr>
        <w:trPr>
          <w:cantSplit/>
          <w:trHeight w:val="628"/>
        </w:trPr>
        <w:tc>
          <w:tcPr>
            <w:tcBorders>
              <w:top w:val="none" w:color="000000" w:sz="4" w:space="0"/>
              <w:bottom w:val="none" w:color="000000" w:sz="4" w:space="0"/>
            </w:tcBorders>
            <w:tcW w:w="441" w:type="dxa"/>
            <w:vAlign w:val="top"/>
            <w:vMerge w:val="continue"/>
            <w:textDirection w:val="lrTb"/>
            <w:noWrap w:val="false"/>
          </w:tcPr>
          <w:p>
            <w:pPr>
              <w:pStyle w:val="1011"/>
              <w:rPr>
                <w:rFonts w:eastAsia="Arial"/>
              </w:rPr>
            </w:pPr>
            <w:r>
              <w:rPr>
                <w:rFonts w:eastAsia="Arial"/>
              </w:rPr>
            </w:r>
            <w:r/>
          </w:p>
        </w:tc>
        <w:tc>
          <w:tcPr>
            <w:tcBorders>
              <w:top w:val="none" w:color="000000" w:sz="4" w:space="0"/>
              <w:bottom w:val="none" w:color="000000" w:sz="4" w:space="0"/>
            </w:tcBorders>
            <w:tcW w:w="595" w:type="dxa"/>
            <w:vAlign w:val="top"/>
            <w:vMerge w:val="continue"/>
            <w:textDirection w:val="lrTb"/>
            <w:noWrap w:val="false"/>
          </w:tcPr>
          <w:p>
            <w:pPr>
              <w:pStyle w:val="1011"/>
              <w:rPr>
                <w:rFonts w:eastAsia="Arial"/>
              </w:rPr>
            </w:pPr>
            <w:r>
              <w:rPr>
                <w:rFonts w:eastAsia="Arial"/>
              </w:rPr>
            </w:r>
            <w:r/>
          </w:p>
        </w:tc>
        <w:tc>
          <w:tcPr>
            <w:tcBorders>
              <w:top w:val="none" w:color="000000" w:sz="4" w:space="0"/>
              <w:bottom w:val="none" w:color="000000" w:sz="4" w:space="0"/>
            </w:tcBorders>
            <w:tcW w:w="1092" w:type="dxa"/>
            <w:vAlign w:val="top"/>
            <w:vMerge w:val="continue"/>
            <w:textDirection w:val="lrTb"/>
            <w:noWrap w:val="false"/>
          </w:tcPr>
          <w:p>
            <w:pPr>
              <w:pStyle w:val="1011"/>
              <w:rPr>
                <w:rFonts w:eastAsia="Arial"/>
              </w:rPr>
            </w:pPr>
            <w:r>
              <w:rPr>
                <w:rFonts w:eastAsia="Arial"/>
              </w:rPr>
            </w:r>
            <w:r/>
          </w:p>
        </w:tc>
        <w:tc>
          <w:tcPr>
            <w:tcW w:w="2329" w:type="dxa"/>
            <w:vAlign w:val="top"/>
            <w:textDirection w:val="lrTb"/>
            <w:noWrap w:val="false"/>
          </w:tcPr>
          <w:p>
            <w:pPr>
              <w:pStyle w:val="1198"/>
              <w:ind w:left="12"/>
              <w:spacing w:before="117" w:line="221" w:lineRule="auto"/>
            </w:pPr>
            <w:r>
              <w:rPr>
                <w:spacing w:val="6"/>
              </w:rPr>
              <w:t xml:space="preserve">是否建立安全管理档案资料</w:t>
            </w:r>
            <w:r/>
          </w:p>
        </w:tc>
        <w:tc>
          <w:tcPr>
            <w:tcW w:w="5208" w:type="dxa"/>
            <w:vAlign w:val="top"/>
            <w:textDirection w:val="lrTb"/>
            <w:noWrap w:val="false"/>
          </w:tcPr>
          <w:p>
            <w:pPr>
              <w:pStyle w:val="1198"/>
              <w:ind w:left="40"/>
              <w:spacing w:before="117" w:line="221" w:lineRule="auto"/>
            </w:pPr>
            <w:r>
              <w:rPr>
                <w:spacing w:val="4"/>
              </w:rPr>
              <w:t xml:space="preserve">未建立安全管理档案资料扣2分</w:t>
            </w:r>
            <w:r/>
          </w:p>
        </w:tc>
        <w:tc>
          <w:tcPr>
            <w:tcW w:w="724" w:type="dxa"/>
            <w:vAlign w:val="top"/>
            <w:textDirection w:val="lrTb"/>
            <w:noWrap w:val="false"/>
          </w:tcPr>
          <w:p>
            <w:pPr>
              <w:pStyle w:val="1011"/>
              <w:rPr>
                <w:rFonts w:eastAsia="Arial"/>
              </w:rPr>
            </w:pPr>
            <w:r>
              <w:rPr>
                <w:rFonts w:eastAsia="Arial"/>
              </w:rPr>
            </w:r>
            <w:r/>
          </w:p>
        </w:tc>
      </w:tr>
      <w:tr>
        <w:trPr>
          <w:cantSplit/>
          <w:trHeight w:val="628"/>
        </w:trPr>
        <w:tc>
          <w:tcPr>
            <w:tcBorders>
              <w:top w:val="none" w:color="000000" w:sz="4" w:space="0"/>
            </w:tcBorders>
            <w:tcW w:w="441" w:type="dxa"/>
            <w:vAlign w:val="top"/>
            <w:vMerge w:val="continue"/>
            <w:textDirection w:val="lrTb"/>
            <w:noWrap w:val="false"/>
          </w:tcPr>
          <w:p>
            <w:pPr>
              <w:pStyle w:val="1011"/>
              <w:rPr>
                <w:rFonts w:eastAsia="Arial"/>
              </w:rPr>
            </w:pPr>
            <w:r>
              <w:rPr>
                <w:rFonts w:eastAsia="Arial"/>
              </w:rPr>
            </w:r>
            <w:r/>
          </w:p>
        </w:tc>
        <w:tc>
          <w:tcPr>
            <w:tcBorders>
              <w:top w:val="none" w:color="000000" w:sz="4" w:space="0"/>
            </w:tcBorders>
            <w:tcW w:w="595" w:type="dxa"/>
            <w:vAlign w:val="top"/>
            <w:vMerge w:val="continue"/>
            <w:textDirection w:val="lrTb"/>
            <w:noWrap w:val="false"/>
          </w:tcPr>
          <w:p>
            <w:pPr>
              <w:pStyle w:val="1011"/>
              <w:rPr>
                <w:rFonts w:eastAsia="Arial"/>
              </w:rPr>
            </w:pPr>
            <w:r>
              <w:rPr>
                <w:rFonts w:eastAsia="Arial"/>
              </w:rPr>
            </w:r>
            <w:r/>
          </w:p>
        </w:tc>
        <w:tc>
          <w:tcPr>
            <w:tcBorders>
              <w:top w:val="none" w:color="000000" w:sz="4" w:space="0"/>
            </w:tcBorders>
            <w:tcW w:w="1092" w:type="dxa"/>
            <w:vAlign w:val="top"/>
            <w:vMerge w:val="continue"/>
            <w:textDirection w:val="lrTb"/>
            <w:noWrap w:val="false"/>
          </w:tcPr>
          <w:p>
            <w:pPr>
              <w:pStyle w:val="1011"/>
              <w:rPr>
                <w:rFonts w:eastAsia="Arial"/>
              </w:rPr>
            </w:pPr>
            <w:r>
              <w:rPr>
                <w:rFonts w:eastAsia="Arial"/>
              </w:rPr>
            </w:r>
            <w:r/>
          </w:p>
        </w:tc>
        <w:tc>
          <w:tcPr>
            <w:tcW w:w="2329" w:type="dxa"/>
            <w:vAlign w:val="top"/>
            <w:textDirection w:val="lrTb"/>
            <w:noWrap w:val="false"/>
          </w:tcPr>
          <w:p>
            <w:pPr>
              <w:pStyle w:val="1198"/>
              <w:ind w:left="39"/>
              <w:spacing w:before="118" w:line="222" w:lineRule="auto"/>
              <w:rPr>
                <w:lang w:eastAsia="en-US"/>
              </w:rPr>
            </w:pPr>
            <w:r>
              <w:rPr>
                <w:spacing w:val="3"/>
                <w:lang w:eastAsia="en-US"/>
              </w:rPr>
              <w:t xml:space="preserve">消防设施</w:t>
            </w:r>
            <w:r>
              <w:rPr>
                <w:lang w:eastAsia="en-US"/>
              </w:rPr>
            </w:r>
            <w:r/>
          </w:p>
        </w:tc>
        <w:tc>
          <w:tcPr>
            <w:tcW w:w="5208" w:type="dxa"/>
            <w:vAlign w:val="top"/>
            <w:textDirection w:val="lrTb"/>
            <w:noWrap w:val="false"/>
          </w:tcPr>
          <w:p>
            <w:pPr>
              <w:pStyle w:val="1198"/>
              <w:ind w:left="13"/>
              <w:spacing w:before="118" w:line="221" w:lineRule="auto"/>
            </w:pPr>
            <w:r>
              <w:rPr>
                <w:spacing w:val="5"/>
              </w:rPr>
              <w:t xml:space="preserve">是否按要求摆放，有用，若没有每样扣0.5分</w:t>
            </w:r>
            <w:r/>
          </w:p>
        </w:tc>
        <w:tc>
          <w:tcPr>
            <w:tcW w:w="724" w:type="dxa"/>
            <w:vAlign w:val="top"/>
            <w:textDirection w:val="lrTb"/>
            <w:noWrap w:val="false"/>
          </w:tcPr>
          <w:p>
            <w:pPr>
              <w:pStyle w:val="1011"/>
              <w:rPr>
                <w:rFonts w:eastAsia="Arial"/>
              </w:rPr>
            </w:pPr>
            <w:r>
              <w:rPr>
                <w:rFonts w:eastAsia="Arial"/>
              </w:rPr>
            </w:r>
            <w:r/>
          </w:p>
        </w:tc>
      </w:tr>
      <w:tr>
        <w:trPr>
          <w:cantSplit/>
          <w:trHeight w:val="624"/>
        </w:trPr>
        <w:tc>
          <w:tcPr>
            <w:tcBorders>
              <w:bottom w:val="none" w:color="000000" w:sz="4" w:space="0"/>
            </w:tcBorders>
            <w:tcW w:w="441" w:type="dxa"/>
            <w:vAlign w:val="top"/>
            <w:vMerge w:val="restart"/>
            <w:textDirection w:val="lrTb"/>
            <w:noWrap w:val="false"/>
          </w:tcPr>
          <w:p>
            <w:pPr>
              <w:pStyle w:val="1011"/>
              <w:spacing w:line="272" w:lineRule="auto"/>
              <w:rPr>
                <w:rFonts w:eastAsia="Arial"/>
              </w:rPr>
            </w:pPr>
            <w:r>
              <w:rPr>
                <w:rFonts w:eastAsia="Arial"/>
              </w:rPr>
            </w:r>
            <w:r/>
          </w:p>
          <w:p>
            <w:pPr>
              <w:pStyle w:val="1011"/>
              <w:spacing w:line="273" w:lineRule="auto"/>
              <w:rPr>
                <w:rFonts w:eastAsia="Arial"/>
              </w:rPr>
            </w:pPr>
            <w:r>
              <w:rPr>
                <w:rFonts w:eastAsia="Arial"/>
              </w:rPr>
            </w:r>
            <w:r/>
          </w:p>
          <w:p>
            <w:pPr>
              <w:pStyle w:val="1198"/>
              <w:ind w:left="175"/>
              <w:spacing w:before="68" w:line="242" w:lineRule="auto"/>
              <w:rPr>
                <w:lang w:eastAsia="en-US"/>
              </w:rPr>
            </w:pPr>
            <w:r>
              <w:rPr>
                <w:lang w:eastAsia="en-US"/>
              </w:rPr>
              <w:t xml:space="preserve">6</w:t>
            </w:r>
            <w:r/>
          </w:p>
        </w:tc>
        <w:tc>
          <w:tcPr>
            <w:tcBorders>
              <w:bottom w:val="none" w:color="000000" w:sz="4" w:space="0"/>
            </w:tcBorders>
            <w:tcW w:w="595" w:type="dxa"/>
            <w:vAlign w:val="top"/>
            <w:vMerge w:val="restart"/>
            <w:textDirection w:val="lrTb"/>
            <w:noWrap w:val="false"/>
          </w:tcPr>
          <w:p>
            <w:pPr>
              <w:pStyle w:val="1011"/>
              <w:spacing w:line="372" w:lineRule="auto"/>
              <w:rPr>
                <w:rFonts w:eastAsia="Arial"/>
                <w:lang w:eastAsia="en-US"/>
              </w:rPr>
            </w:pPr>
            <w:r>
              <w:rPr>
                <w:rFonts w:eastAsia="Arial"/>
                <w:lang w:eastAsia="en-US"/>
              </w:rPr>
            </w:r>
            <w:r/>
          </w:p>
          <w:p>
            <w:pPr>
              <w:pStyle w:val="1198"/>
              <w:ind w:left="102"/>
              <w:spacing w:before="68" w:line="221" w:lineRule="auto"/>
              <w:rPr>
                <w:lang w:eastAsia="en-US"/>
              </w:rPr>
            </w:pPr>
            <w:r>
              <w:rPr>
                <w:spacing w:val="-4"/>
                <w:lang w:eastAsia="en-US"/>
              </w:rPr>
              <w:t xml:space="preserve">形象</w:t>
            </w:r>
            <w:r>
              <w:rPr>
                <w:lang w:eastAsia="en-US"/>
              </w:rPr>
            </w:r>
            <w:r/>
          </w:p>
          <w:p>
            <w:pPr>
              <w:pStyle w:val="1198"/>
              <w:ind w:left="97"/>
              <w:spacing w:before="54" w:line="221" w:lineRule="auto"/>
              <w:rPr>
                <w:sz w:val="22"/>
                <w:szCs w:val="22"/>
                <w:lang w:eastAsia="en-US"/>
              </w:rPr>
            </w:pPr>
            <w:r>
              <w:rPr>
                <w:spacing w:val="-7"/>
                <w:sz w:val="22"/>
                <w:szCs w:val="22"/>
                <w:lang w:eastAsia="en-US"/>
              </w:rPr>
              <w:t xml:space="preserve">管理</w:t>
            </w:r>
            <w:r>
              <w:rPr>
                <w:sz w:val="22"/>
                <w:szCs w:val="22"/>
                <w:lang w:eastAsia="en-US"/>
              </w:rPr>
            </w:r>
            <w:r/>
          </w:p>
        </w:tc>
        <w:tc>
          <w:tcPr>
            <w:tcBorders>
              <w:bottom w:val="none" w:color="000000" w:sz="4" w:space="0"/>
            </w:tcBorders>
            <w:tcW w:w="1092" w:type="dxa"/>
            <w:vAlign w:val="top"/>
            <w:vMerge w:val="restart"/>
            <w:textDirection w:val="lrTb"/>
            <w:noWrap w:val="false"/>
          </w:tcPr>
          <w:p>
            <w:pPr>
              <w:pStyle w:val="1011"/>
              <w:spacing w:line="272" w:lineRule="auto"/>
              <w:rPr>
                <w:rFonts w:eastAsia="Arial"/>
                <w:lang w:eastAsia="en-US"/>
              </w:rPr>
            </w:pPr>
            <w:r>
              <w:rPr>
                <w:rFonts w:eastAsia="Arial"/>
                <w:lang w:eastAsia="en-US"/>
              </w:rPr>
            </w:r>
            <w:r/>
          </w:p>
          <w:p>
            <w:pPr>
              <w:pStyle w:val="1011"/>
              <w:spacing w:line="273" w:lineRule="auto"/>
              <w:rPr>
                <w:rFonts w:eastAsia="Arial"/>
                <w:lang w:eastAsia="en-US"/>
              </w:rPr>
            </w:pPr>
            <w:r>
              <w:rPr>
                <w:rFonts w:eastAsia="Arial"/>
                <w:lang w:eastAsia="en-US"/>
              </w:rPr>
            </w:r>
            <w:r/>
          </w:p>
          <w:p>
            <w:pPr>
              <w:pStyle w:val="1198"/>
              <w:ind w:left="226"/>
              <w:spacing w:before="68" w:line="242" w:lineRule="auto"/>
              <w:rPr>
                <w:lang w:eastAsia="en-US"/>
              </w:rPr>
            </w:pPr>
            <w:r>
              <w:rPr>
                <w:lang w:eastAsia="en-US"/>
              </w:rPr>
              <w:t xml:space="preserve">5</w:t>
            </w:r>
            <w:r/>
          </w:p>
        </w:tc>
        <w:tc>
          <w:tcPr>
            <w:tcW w:w="2329" w:type="dxa"/>
            <w:vAlign w:val="top"/>
            <w:textDirection w:val="lrTb"/>
            <w:noWrap w:val="false"/>
          </w:tcPr>
          <w:p>
            <w:pPr>
              <w:pStyle w:val="1198"/>
              <w:ind w:left="37"/>
              <w:spacing w:before="113" w:line="221" w:lineRule="auto"/>
            </w:pPr>
            <w:r>
              <w:rPr>
                <w:spacing w:val="6"/>
              </w:rPr>
              <w:t xml:space="preserve">建筑物外观以及附属设施</w:t>
            </w:r>
            <w:r/>
          </w:p>
        </w:tc>
        <w:tc>
          <w:tcPr>
            <w:tcW w:w="5208" w:type="dxa"/>
            <w:vAlign w:val="top"/>
            <w:textDirection w:val="lrTb"/>
            <w:noWrap w:val="false"/>
          </w:tcPr>
          <w:p>
            <w:pPr>
              <w:pStyle w:val="1198"/>
              <w:jc w:val="right"/>
              <w:spacing w:before="113" w:line="221" w:lineRule="auto"/>
            </w:pPr>
            <w:r>
              <w:rPr>
                <w:spacing w:val="1"/>
              </w:rPr>
              <w:t xml:space="preserve">建筑物外观不整洁、池面不干净或有异物，每项扣2分</w:t>
            </w:r>
            <w:r/>
          </w:p>
        </w:tc>
        <w:tc>
          <w:tcPr>
            <w:tcW w:w="724" w:type="dxa"/>
            <w:vAlign w:val="top"/>
            <w:textDirection w:val="lrTb"/>
            <w:noWrap w:val="false"/>
          </w:tcPr>
          <w:p>
            <w:pPr>
              <w:pStyle w:val="1011"/>
              <w:rPr>
                <w:rFonts w:eastAsia="Arial"/>
              </w:rPr>
            </w:pPr>
            <w:r>
              <w:rPr>
                <w:rFonts w:eastAsia="Arial"/>
              </w:rPr>
            </w:r>
            <w:r/>
          </w:p>
        </w:tc>
      </w:tr>
      <w:tr>
        <w:trPr>
          <w:cantSplit/>
          <w:trHeight w:val="623"/>
        </w:trPr>
        <w:tc>
          <w:tcPr>
            <w:tcBorders>
              <w:top w:val="none" w:color="000000" w:sz="4" w:space="0"/>
            </w:tcBorders>
            <w:tcW w:w="441" w:type="dxa"/>
            <w:vAlign w:val="top"/>
            <w:vMerge w:val="continue"/>
            <w:textDirection w:val="lrTb"/>
            <w:noWrap w:val="false"/>
          </w:tcPr>
          <w:p>
            <w:pPr>
              <w:pStyle w:val="1011"/>
              <w:rPr>
                <w:rFonts w:eastAsia="Arial"/>
              </w:rPr>
            </w:pPr>
            <w:r>
              <w:rPr>
                <w:rFonts w:eastAsia="Arial"/>
              </w:rPr>
            </w:r>
            <w:r/>
          </w:p>
        </w:tc>
        <w:tc>
          <w:tcPr>
            <w:tcBorders>
              <w:top w:val="none" w:color="000000" w:sz="4" w:space="0"/>
            </w:tcBorders>
            <w:tcW w:w="595" w:type="dxa"/>
            <w:vAlign w:val="top"/>
            <w:vMerge w:val="continue"/>
            <w:textDirection w:val="lrTb"/>
            <w:noWrap w:val="false"/>
          </w:tcPr>
          <w:p>
            <w:pPr>
              <w:pStyle w:val="1011"/>
              <w:rPr>
                <w:rFonts w:eastAsia="Arial"/>
              </w:rPr>
            </w:pPr>
            <w:r>
              <w:rPr>
                <w:rFonts w:eastAsia="Arial"/>
              </w:rPr>
            </w:r>
            <w:r/>
          </w:p>
        </w:tc>
        <w:tc>
          <w:tcPr>
            <w:tcBorders>
              <w:top w:val="none" w:color="000000" w:sz="4" w:space="0"/>
            </w:tcBorders>
            <w:tcW w:w="1092" w:type="dxa"/>
            <w:vAlign w:val="top"/>
            <w:vMerge w:val="continue"/>
            <w:textDirection w:val="lrTb"/>
            <w:noWrap w:val="false"/>
          </w:tcPr>
          <w:p>
            <w:pPr>
              <w:pStyle w:val="1011"/>
              <w:rPr>
                <w:rFonts w:eastAsia="Arial"/>
              </w:rPr>
            </w:pPr>
            <w:r>
              <w:rPr>
                <w:rFonts w:eastAsia="Arial"/>
              </w:rPr>
            </w:r>
            <w:r/>
          </w:p>
        </w:tc>
        <w:tc>
          <w:tcPr>
            <w:tcW w:w="2329" w:type="dxa"/>
            <w:vAlign w:val="top"/>
            <w:textDirection w:val="lrTb"/>
            <w:noWrap w:val="false"/>
          </w:tcPr>
          <w:p>
            <w:pPr>
              <w:pStyle w:val="1198"/>
              <w:ind w:left="39"/>
              <w:spacing w:before="113" w:line="221" w:lineRule="auto"/>
              <w:rPr>
                <w:lang w:eastAsia="en-US"/>
              </w:rPr>
            </w:pPr>
            <w:r>
              <w:rPr>
                <w:spacing w:val="6"/>
                <w:lang w:eastAsia="en-US"/>
              </w:rPr>
              <w:t xml:space="preserve">管渠是否有破损泄露</w:t>
            </w:r>
            <w:r>
              <w:rPr>
                <w:lang w:eastAsia="en-US"/>
              </w:rPr>
            </w:r>
            <w:r/>
          </w:p>
        </w:tc>
        <w:tc>
          <w:tcPr>
            <w:tcW w:w="5208" w:type="dxa"/>
            <w:vAlign w:val="top"/>
            <w:textDirection w:val="lrTb"/>
            <w:noWrap w:val="false"/>
          </w:tcPr>
          <w:p>
            <w:pPr>
              <w:pStyle w:val="1198"/>
              <w:ind w:left="40"/>
              <w:spacing w:before="113" w:line="221" w:lineRule="auto"/>
            </w:pPr>
            <w:r>
              <w:rPr>
                <w:spacing w:val="5"/>
              </w:rPr>
              <w:t xml:space="preserve">管渠有破损泄露井内有杂物每项扣2分</w:t>
            </w:r>
            <w:r/>
          </w:p>
        </w:tc>
        <w:tc>
          <w:tcPr>
            <w:tcW w:w="724" w:type="dxa"/>
            <w:vAlign w:val="top"/>
            <w:textDirection w:val="lrTb"/>
            <w:noWrap w:val="false"/>
          </w:tcPr>
          <w:p>
            <w:pPr>
              <w:pStyle w:val="1011"/>
              <w:rPr>
                <w:rFonts w:eastAsia="Arial"/>
              </w:rPr>
            </w:pPr>
            <w:r>
              <w:rPr>
                <w:rFonts w:eastAsia="Arial"/>
              </w:rPr>
            </w:r>
            <w:r/>
          </w:p>
        </w:tc>
      </w:tr>
      <w:tr>
        <w:trPr>
          <w:cantSplit/>
          <w:trHeight w:val="848"/>
        </w:trPr>
        <w:tc>
          <w:tcPr>
            <w:tcW w:w="441" w:type="dxa"/>
            <w:vAlign w:val="top"/>
            <w:vMerge w:val="restart"/>
            <w:textDirection w:val="lrTb"/>
            <w:noWrap w:val="false"/>
          </w:tcPr>
          <w:p>
            <w:pPr>
              <w:pStyle w:val="1011"/>
              <w:spacing w:line="264" w:lineRule="auto"/>
              <w:rPr>
                <w:rFonts w:eastAsia="Arial"/>
              </w:rPr>
            </w:pPr>
            <w:r>
              <w:rPr>
                <w:rFonts w:eastAsia="Arial"/>
              </w:rPr>
            </w:r>
            <w:r/>
          </w:p>
          <w:p>
            <w:pPr>
              <w:pStyle w:val="1011"/>
              <w:spacing w:line="264" w:lineRule="auto"/>
              <w:rPr>
                <w:rFonts w:eastAsia="Arial"/>
              </w:rPr>
            </w:pPr>
            <w:r>
              <w:rPr>
                <w:rFonts w:eastAsia="Arial"/>
              </w:rPr>
            </w:r>
            <w:r/>
          </w:p>
          <w:p>
            <w:pPr>
              <w:pStyle w:val="1198"/>
              <w:ind w:left="248"/>
              <w:spacing w:before="71" w:line="241" w:lineRule="auto"/>
              <w:rPr>
                <w:sz w:val="22"/>
                <w:szCs w:val="22"/>
                <w:lang w:eastAsia="en-US"/>
              </w:rPr>
            </w:pPr>
            <w:r>
              <w:rPr>
                <w:sz w:val="22"/>
                <w:szCs w:val="22"/>
                <w:lang w:eastAsia="en-US"/>
              </w:rPr>
              <w:t xml:space="preserve">7</w:t>
            </w:r>
            <w:r/>
          </w:p>
        </w:tc>
        <w:tc>
          <w:tcPr>
            <w:tcW w:w="595" w:type="dxa"/>
            <w:vAlign w:val="top"/>
            <w:vMerge w:val="restart"/>
            <w:textDirection w:val="lrTb"/>
            <w:noWrap w:val="false"/>
          </w:tcPr>
          <w:p>
            <w:pPr>
              <w:pStyle w:val="1011"/>
              <w:spacing w:line="263" w:lineRule="auto"/>
              <w:rPr>
                <w:rFonts w:eastAsia="Arial"/>
                <w:lang w:eastAsia="en-US"/>
              </w:rPr>
            </w:pPr>
            <w:r>
              <w:rPr>
                <w:rFonts w:eastAsia="Arial"/>
                <w:lang w:eastAsia="en-US"/>
              </w:rPr>
            </w:r>
            <w:r/>
          </w:p>
          <w:p>
            <w:pPr>
              <w:pStyle w:val="1011"/>
              <w:spacing w:line="264" w:lineRule="auto"/>
              <w:rPr>
                <w:rFonts w:eastAsia="Arial"/>
                <w:lang w:eastAsia="en-US"/>
              </w:rPr>
            </w:pPr>
            <w:r>
              <w:rPr>
                <w:rFonts w:eastAsia="Arial"/>
                <w:lang w:eastAsia="en-US"/>
              </w:rPr>
            </w:r>
            <w:r/>
          </w:p>
          <w:p>
            <w:pPr>
              <w:pStyle w:val="1198"/>
              <w:ind w:left="101"/>
              <w:spacing w:before="72" w:line="222" w:lineRule="auto"/>
              <w:rPr>
                <w:sz w:val="22"/>
                <w:szCs w:val="22"/>
                <w:lang w:eastAsia="en-US"/>
              </w:rPr>
            </w:pPr>
            <w:r>
              <w:rPr>
                <w:spacing w:val="-4"/>
                <w:sz w:val="22"/>
                <w:szCs w:val="22"/>
                <w:lang w:eastAsia="en-US"/>
              </w:rPr>
              <w:t xml:space="preserve">其他</w:t>
            </w:r>
            <w:r>
              <w:rPr>
                <w:sz w:val="22"/>
                <w:szCs w:val="22"/>
                <w:lang w:eastAsia="en-US"/>
              </w:rPr>
            </w:r>
            <w:r/>
          </w:p>
        </w:tc>
        <w:tc>
          <w:tcPr>
            <w:tcW w:w="1092" w:type="dxa"/>
            <w:vAlign w:val="top"/>
            <w:vMerge w:val="restart"/>
            <w:textDirection w:val="lrTb"/>
            <w:noWrap w:val="false"/>
          </w:tcPr>
          <w:p>
            <w:pPr>
              <w:pStyle w:val="1011"/>
              <w:spacing w:line="265" w:lineRule="auto"/>
              <w:rPr>
                <w:rFonts w:eastAsia="Arial"/>
                <w:lang w:eastAsia="en-US"/>
              </w:rPr>
            </w:pPr>
            <w:r>
              <w:rPr>
                <w:rFonts w:eastAsia="Arial"/>
                <w:lang w:eastAsia="en-US"/>
              </w:rPr>
            </w:r>
            <w:r/>
          </w:p>
          <w:p>
            <w:pPr>
              <w:pStyle w:val="1011"/>
              <w:spacing w:line="265" w:lineRule="auto"/>
              <w:rPr>
                <w:rFonts w:eastAsia="Arial"/>
                <w:lang w:eastAsia="en-US"/>
              </w:rPr>
            </w:pPr>
            <w:r>
              <w:rPr>
                <w:rFonts w:eastAsia="Arial"/>
                <w:lang w:eastAsia="en-US"/>
              </w:rPr>
            </w:r>
            <w:r/>
          </w:p>
          <w:p>
            <w:pPr>
              <w:pStyle w:val="1198"/>
              <w:ind w:left="186"/>
              <w:spacing w:before="72" w:line="241" w:lineRule="auto"/>
              <w:rPr>
                <w:sz w:val="22"/>
                <w:szCs w:val="22"/>
                <w:lang w:eastAsia="en-US"/>
              </w:rPr>
            </w:pPr>
            <w:r>
              <w:rPr>
                <w:spacing w:val="-13"/>
                <w:sz w:val="22"/>
                <w:szCs w:val="22"/>
                <w:lang w:eastAsia="en-US"/>
              </w:rPr>
              <w:t xml:space="preserve">10</w:t>
            </w:r>
            <w:r>
              <w:rPr>
                <w:sz w:val="22"/>
                <w:szCs w:val="22"/>
                <w:lang w:eastAsia="en-US"/>
              </w:rPr>
            </w:r>
            <w:r/>
          </w:p>
        </w:tc>
        <w:tc>
          <w:tcPr>
            <w:tcW w:w="2329" w:type="dxa"/>
            <w:vAlign w:val="top"/>
            <w:textDirection w:val="lrTb"/>
            <w:noWrap w:val="false"/>
          </w:tcPr>
          <w:p>
            <w:pPr>
              <w:pStyle w:val="1198"/>
              <w:ind w:left="35"/>
              <w:spacing w:before="114" w:line="221" w:lineRule="auto"/>
              <w:rPr>
                <w:lang w:eastAsia="en-US"/>
              </w:rPr>
            </w:pPr>
            <w:r>
              <w:rPr>
                <w:spacing w:val="6"/>
                <w:lang w:eastAsia="en-US"/>
              </w:rPr>
              <w:t xml:space="preserve">档案管理是否规范</w:t>
            </w:r>
            <w:r>
              <w:rPr>
                <w:lang w:eastAsia="en-US"/>
              </w:rPr>
            </w:r>
            <w:r/>
          </w:p>
        </w:tc>
        <w:tc>
          <w:tcPr>
            <w:tcW w:w="5208" w:type="dxa"/>
            <w:vAlign w:val="top"/>
            <w:textDirection w:val="lrTb"/>
            <w:noWrap w:val="false"/>
          </w:tcPr>
          <w:p>
            <w:pPr>
              <w:pStyle w:val="1198"/>
              <w:ind w:left="37"/>
              <w:spacing w:before="114" w:line="221" w:lineRule="auto"/>
            </w:pPr>
            <w:r>
              <w:rPr>
                <w:spacing w:val="3"/>
              </w:rPr>
              <w:t xml:space="preserve">档案管理不规范每项扣1分</w:t>
            </w:r>
            <w:r/>
          </w:p>
        </w:tc>
        <w:tc>
          <w:tcPr>
            <w:tcW w:w="724" w:type="dxa"/>
            <w:vAlign w:val="top"/>
            <w:textDirection w:val="lrTb"/>
            <w:noWrap w:val="false"/>
          </w:tcPr>
          <w:p>
            <w:pPr>
              <w:pStyle w:val="1011"/>
              <w:rPr>
                <w:rFonts w:eastAsia="Arial"/>
              </w:rPr>
            </w:pPr>
            <w:r>
              <w:rPr>
                <w:rFonts w:eastAsia="Arial"/>
              </w:rPr>
            </w:r>
            <w:r/>
          </w:p>
        </w:tc>
      </w:tr>
      <w:tr>
        <w:trPr>
          <w:cantSplit/>
          <w:trHeight w:val="1723"/>
        </w:trPr>
        <w:tc>
          <w:tcPr>
            <w:tcW w:w="441" w:type="dxa"/>
            <w:vAlign w:val="top"/>
            <w:vMerge w:val="continue"/>
            <w:textDirection w:val="lrTb"/>
            <w:noWrap w:val="false"/>
          </w:tcPr>
          <w:p>
            <w:pPr>
              <w:pStyle w:val="1011"/>
              <w:rPr>
                <w:rFonts w:eastAsia="Arial"/>
              </w:rPr>
            </w:pPr>
            <w:r>
              <w:rPr>
                <w:rFonts w:eastAsia="Arial"/>
              </w:rPr>
            </w:r>
            <w:r/>
          </w:p>
        </w:tc>
        <w:tc>
          <w:tcPr>
            <w:tcW w:w="595" w:type="dxa"/>
            <w:vAlign w:val="top"/>
            <w:vMerge w:val="continue"/>
            <w:textDirection w:val="lrTb"/>
            <w:noWrap w:val="false"/>
          </w:tcPr>
          <w:p>
            <w:pPr>
              <w:pStyle w:val="1011"/>
              <w:rPr>
                <w:rFonts w:eastAsia="Arial"/>
              </w:rPr>
            </w:pPr>
            <w:r>
              <w:rPr>
                <w:rFonts w:eastAsia="Arial"/>
              </w:rPr>
            </w:r>
            <w:r/>
          </w:p>
        </w:tc>
        <w:tc>
          <w:tcPr>
            <w:tcW w:w="1092" w:type="dxa"/>
            <w:vAlign w:val="top"/>
            <w:vMerge w:val="continue"/>
            <w:textDirection w:val="lrTb"/>
            <w:noWrap w:val="false"/>
          </w:tcPr>
          <w:p>
            <w:pPr>
              <w:pStyle w:val="1011"/>
              <w:rPr>
                <w:rFonts w:eastAsia="Arial"/>
              </w:rPr>
            </w:pPr>
            <w:r>
              <w:rPr>
                <w:rFonts w:eastAsia="Arial"/>
              </w:rPr>
            </w:r>
            <w:r/>
          </w:p>
        </w:tc>
        <w:tc>
          <w:tcPr>
            <w:tcW w:w="2329" w:type="dxa"/>
            <w:vAlign w:val="top"/>
            <w:textDirection w:val="lrTb"/>
            <w:noWrap w:val="false"/>
          </w:tcPr>
          <w:p>
            <w:pPr>
              <w:pStyle w:val="1198"/>
              <w:ind w:left="36" w:hanging="1"/>
              <w:spacing w:before="116" w:line="270" w:lineRule="auto"/>
            </w:pPr>
            <w:r>
              <w:rPr>
                <w:spacing w:val="-8"/>
              </w:rPr>
              <w:t xml:space="preserve">积极响应群众报修，及时修复，</w:t>
            </w:r>
            <w:r>
              <w:rPr>
                <w:spacing w:val="3"/>
              </w:rPr>
              <w:t xml:space="preserve">无污水冒溢事件发生，不发生</w:t>
            </w:r>
            <w:r/>
          </w:p>
          <w:p>
            <w:pPr>
              <w:pStyle w:val="1198"/>
              <w:ind w:left="52" w:right="10" w:hanging="13"/>
              <w:spacing w:before="68" w:line="272" w:lineRule="auto"/>
            </w:pPr>
            <w:r>
              <w:rPr>
                <w:spacing w:val="7"/>
              </w:rPr>
              <w:t xml:space="preserve">安全生产事故、上级通报及新</w:t>
            </w:r>
            <w:r>
              <w:rPr>
                <w:spacing w:val="3"/>
              </w:rPr>
              <w:t xml:space="preserve">闻媒体曝光事件。论坛新闻曝光及产生工单。</w:t>
            </w:r>
            <w:r/>
          </w:p>
        </w:tc>
        <w:tc>
          <w:tcPr>
            <w:tcW w:w="5208" w:type="dxa"/>
            <w:vAlign w:val="top"/>
            <w:textDirection w:val="lrTb"/>
            <w:noWrap w:val="false"/>
          </w:tcPr>
          <w:p>
            <w:pPr>
              <w:pStyle w:val="1198"/>
              <w:ind w:left="10"/>
              <w:spacing w:before="102" w:line="221" w:lineRule="auto"/>
              <w:rPr>
                <w:lang w:eastAsia="en-US"/>
              </w:rPr>
            </w:pPr>
            <w:r>
              <w:rPr>
                <w:spacing w:val="2"/>
                <w:lang w:eastAsia="en-US"/>
              </w:rPr>
              <w:t xml:space="preserve">每发生一次扣5分</w:t>
            </w:r>
            <w:r>
              <w:rPr>
                <w:lang w:eastAsia="en-US"/>
              </w:rPr>
            </w:r>
            <w:r/>
          </w:p>
        </w:tc>
        <w:tc>
          <w:tcPr>
            <w:tcW w:w="724" w:type="dxa"/>
            <w:vAlign w:val="top"/>
            <w:textDirection w:val="lrTb"/>
            <w:noWrap w:val="false"/>
          </w:tcPr>
          <w:p>
            <w:pPr>
              <w:pStyle w:val="1011"/>
              <w:rPr>
                <w:rFonts w:eastAsia="Arial"/>
                <w:lang w:eastAsia="en-US"/>
              </w:rPr>
            </w:pPr>
            <w:r>
              <w:rPr>
                <w:rFonts w:eastAsia="Arial"/>
                <w:lang w:eastAsia="en-US"/>
              </w:rPr>
            </w:r>
            <w:r/>
          </w:p>
        </w:tc>
      </w:tr>
      <w:tr>
        <w:trPr>
          <w:trHeight w:val="3744"/>
        </w:trPr>
        <w:tc>
          <w:tcPr>
            <w:gridSpan w:val="6"/>
            <w:tcW w:w="10389" w:type="dxa"/>
            <w:vAlign w:val="top"/>
            <w:textDirection w:val="lrTb"/>
            <w:noWrap w:val="false"/>
          </w:tcPr>
          <w:p>
            <w:pPr>
              <w:pStyle w:val="1198"/>
              <w:ind w:left="497"/>
              <w:spacing w:before="52" w:line="221" w:lineRule="auto"/>
            </w:pPr>
            <w:r>
              <w:rPr>
                <w:spacing w:val="14"/>
              </w:rPr>
              <w:t xml:space="preserve">考核标准：</w:t>
            </w:r>
            <w:r/>
          </w:p>
          <w:p>
            <w:pPr>
              <w:pStyle w:val="1198"/>
              <w:ind w:left="12" w:right="33" w:firstLine="485"/>
              <w:spacing w:before="60" w:line="274" w:lineRule="auto"/>
            </w:pPr>
            <w:r>
              <w:rPr>
                <w:spacing w:val="25"/>
              </w:rPr>
              <w:t xml:space="preserve">招标人对承包人按百分制采取不定期的办法每月进行</w:t>
            </w:r>
            <w:r>
              <w:rPr>
                <w:spacing w:val="24"/>
              </w:rPr>
              <w:t xml:space="preserve">一次考核，依考评办法进行加扣分，按质</w:t>
            </w:r>
            <w:r>
              <w:rPr>
                <w:spacing w:val="22"/>
              </w:rPr>
              <w:t xml:space="preserve">付费，具体奖罚标准如下：</w:t>
            </w:r>
            <w:r/>
          </w:p>
          <w:p>
            <w:pPr>
              <w:pStyle w:val="1198"/>
              <w:ind w:left="513"/>
              <w:spacing w:line="221" w:lineRule="auto"/>
            </w:pPr>
            <w:r>
              <w:rPr>
                <w:spacing w:val="23"/>
              </w:rPr>
              <w:t xml:space="preserve">1、单月考核评分≧90分，则不扣分，全额支付当月运营服务款；</w:t>
            </w:r>
            <w:r/>
          </w:p>
          <w:p>
            <w:pPr>
              <w:pStyle w:val="1198"/>
              <w:ind w:left="500"/>
              <w:spacing w:before="60" w:line="221" w:lineRule="auto"/>
            </w:pPr>
            <w:r>
              <w:rPr>
                <w:spacing w:val="18"/>
              </w:rPr>
              <w:t xml:space="preserve">2、单月考核评分&lt;90分，则每扣一分，扣</w:t>
            </w:r>
            <w:r>
              <w:rPr>
                <w:spacing w:val="17"/>
              </w:rPr>
              <w:t xml:space="preserve">除当月运营服务费 1000元，以此类推；</w:t>
            </w:r>
            <w:r/>
          </w:p>
          <w:p>
            <w:pPr>
              <w:pStyle w:val="1198"/>
              <w:ind w:left="13" w:right="51" w:firstLine="488"/>
              <w:spacing w:before="60" w:line="248" w:lineRule="auto"/>
            </w:pPr>
            <w:r>
              <w:rPr>
                <w:spacing w:val="15"/>
              </w:rPr>
              <w:t xml:space="preserve">3、单月考核评分&lt;75 分，为考核不合格，限期 10 日内整改完成，若未按要求完成整改的，招</w:t>
            </w:r>
            <w:r>
              <w:rPr>
                <w:spacing w:val="22"/>
              </w:rPr>
              <w:t xml:space="preserve">标人有权单方面终止合同。</w:t>
            </w:r>
            <w:r/>
          </w:p>
          <w:p>
            <w:pPr>
              <w:pStyle w:val="1198"/>
              <w:ind w:left="496"/>
              <w:spacing w:before="60" w:line="221" w:lineRule="auto"/>
            </w:pPr>
            <w:r>
              <w:rPr>
                <w:spacing w:val="27"/>
              </w:rPr>
              <w:t xml:space="preserve">4、中标人在运营期间被环保督查发现问题并处理的，招标人将视情况给予扣分或罚款。</w:t>
            </w:r>
            <w:r/>
          </w:p>
          <w:p>
            <w:pPr>
              <w:pStyle w:val="1198"/>
              <w:ind w:left="33" w:right="44" w:firstLine="468"/>
              <w:spacing w:before="60" w:line="248" w:lineRule="auto"/>
            </w:pPr>
            <w:r>
              <w:rPr>
                <w:spacing w:val="22"/>
              </w:rPr>
              <w:t xml:space="preserve">5、经核查出水质量未</w:t>
            </w:r>
            <w:r>
              <w:rPr>
                <w:spacing w:val="23"/>
              </w:rPr>
              <w:t xml:space="preserve">达到《污水排入城市下水道水质标准-GB/T31962-2015》表2 标准，合同</w:t>
            </w:r>
            <w:r>
              <w:rPr>
                <w:spacing w:val="26"/>
              </w:rPr>
              <w:t xml:space="preserve">直接作废。同时赔偿相关损失。</w:t>
            </w:r>
            <w:r/>
          </w:p>
          <w:p>
            <w:pPr>
              <w:pStyle w:val="1198"/>
              <w:ind w:left="11" w:right="41" w:firstLine="488"/>
              <w:spacing w:before="60" w:line="247" w:lineRule="auto"/>
            </w:pPr>
            <w:r>
              <w:rPr>
                <w:spacing w:val="27"/>
              </w:rPr>
              <w:t xml:space="preserve">6、中标人在服务期内因重大自然灾害及突击迎检等应急事件中做出</w:t>
            </w:r>
            <w:r>
              <w:rPr>
                <w:spacing w:val="26"/>
              </w:rPr>
              <w:t xml:space="preserve">突出贡献的，招标人将视</w:t>
            </w:r>
            <w:r>
              <w:rPr>
                <w:spacing w:val="28"/>
              </w:rPr>
              <w:t xml:space="preserve">情况给予加分或表彰。</w:t>
            </w:r>
            <w:r/>
          </w:p>
        </w:tc>
      </w:tr>
    </w:tbl>
    <w:p>
      <w:pPr>
        <w:pStyle w:val="1011"/>
        <w:ind w:firstLine="628"/>
        <w:spacing w:line="420" w:lineRule="exact"/>
        <w:rPr>
          <w:rFonts w:ascii="宋体" w:hAnsi="宋体" w:cs="宋体"/>
          <w:b/>
          <w:bCs/>
        </w:rPr>
      </w:pPr>
      <w:r>
        <w:rPr>
          <w:rFonts w:hint="eastAsia" w:ascii="宋体" w:hAnsi="宋体" w:cs="宋体"/>
          <w:b/>
          <w:bCs/>
        </w:rPr>
        <w:t xml:space="preserve">注：甲方有权针对考核标准进行变更，以上如有最新标准和规范，则按最新标准和规范执行。</w:t>
      </w:r>
      <w:r>
        <w:rPr>
          <w:rFonts w:ascii="宋体" w:hAnsi="宋体" w:cs="宋体"/>
          <w:b/>
          <w:bCs/>
        </w:rPr>
      </w:r>
      <w:r/>
    </w:p>
    <w:p>
      <w:pPr>
        <w:pStyle w:val="1011"/>
        <w:ind w:firstLine="422"/>
        <w:spacing w:line="360" w:lineRule="exact"/>
        <w:rPr>
          <w:rFonts w:ascii="宋体" w:hAnsi="宋体" w:cs="宋体"/>
          <w:b/>
          <w:bCs/>
        </w:rPr>
      </w:pPr>
      <w:r>
        <w:rPr>
          <w:rFonts w:ascii="宋体" w:hAnsi="宋体" w:cs="宋体"/>
          <w:b/>
          <w:bCs/>
        </w:rPr>
      </w:r>
      <w:r/>
    </w:p>
    <w:p>
      <w:pPr>
        <w:pStyle w:val="1182"/>
        <w:spacing w:line="427" w:lineRule="auto"/>
      </w:pPr>
      <w:r/>
      <w:r/>
    </w:p>
    <w:p>
      <w:pPr>
        <w:pStyle w:val="1011"/>
        <w:ind w:left="1338"/>
        <w:spacing w:before="68" w:line="221" w:lineRule="auto"/>
        <w:rPr>
          <w:rFonts w:ascii="宋体" w:hAnsi="宋体" w:cs="宋体"/>
        </w:rPr>
      </w:pPr>
      <w:r>
        <w:rPr>
          <w:rFonts w:ascii="宋体" w:hAnsi="宋体" w:cs="宋体"/>
        </w:rPr>
        <w:t xml:space="preserve">合计扣分：                                </w:t>
      </w:r>
      <w:r>
        <w:rPr>
          <w:rFonts w:ascii="宋体" w:hAnsi="宋体" w:cs="宋体"/>
          <w:spacing w:val="-1"/>
        </w:rPr>
        <w:t xml:space="preserve">    实得分：</w:t>
      </w:r>
      <w:r>
        <w:rPr>
          <w:rFonts w:ascii="宋体" w:hAnsi="宋体" w:cs="宋体"/>
        </w:rPr>
      </w:r>
      <w:r/>
    </w:p>
    <w:p>
      <w:pPr>
        <w:pStyle w:val="1182"/>
        <w:spacing w:line="306" w:lineRule="auto"/>
      </w:pPr>
      <w:r/>
      <w:r/>
    </w:p>
    <w:p>
      <w:pPr>
        <w:pStyle w:val="1182"/>
        <w:spacing w:line="306" w:lineRule="auto"/>
      </w:pPr>
      <w:r/>
      <w:r/>
    </w:p>
    <w:p>
      <w:pPr>
        <w:pStyle w:val="1011"/>
        <w:ind w:left="1337"/>
        <w:spacing w:before="68" w:line="221" w:lineRule="auto"/>
        <w:rPr>
          <w:rFonts w:ascii="宋体" w:hAnsi="宋体" w:cs="宋体"/>
        </w:rPr>
      </w:pPr>
      <w:r>
        <w:rPr>
          <w:rFonts w:ascii="宋体" w:hAnsi="宋体" w:cs="宋体"/>
          <w:spacing w:val="-1"/>
        </w:rPr>
        <w:t xml:space="preserve">被考核人签字：                                考核单位：</w:t>
      </w:r>
      <w:r>
        <w:rPr>
          <w:rFonts w:ascii="宋体" w:hAnsi="宋体" w:cs="宋体"/>
        </w:rPr>
      </w:r>
      <w:r/>
    </w:p>
    <w:p>
      <w:pPr>
        <w:pStyle w:val="1182"/>
        <w:spacing w:line="306" w:lineRule="auto"/>
      </w:pPr>
      <w:r/>
      <w:r/>
    </w:p>
    <w:p>
      <w:pPr>
        <w:pStyle w:val="1182"/>
        <w:spacing w:line="306" w:lineRule="auto"/>
      </w:pPr>
      <w:r/>
      <w:r/>
    </w:p>
    <w:p>
      <w:pPr>
        <w:pStyle w:val="1011"/>
        <w:ind w:left="1337"/>
        <w:spacing w:before="68" w:line="221" w:lineRule="auto"/>
        <w:rPr>
          <w:rFonts w:ascii="宋体" w:hAnsi="宋体" w:cs="宋体"/>
        </w:rPr>
      </w:pPr>
      <w:r>
        <w:rPr>
          <w:rFonts w:ascii="宋体" w:hAnsi="宋体" w:cs="宋体"/>
          <w:spacing w:val="-5"/>
        </w:rPr>
        <w:t xml:space="preserve">考核人员签字：</w:t>
      </w:r>
      <w:r>
        <w:rPr>
          <w:rFonts w:ascii="宋体" w:hAnsi="宋体" w:cs="宋体"/>
        </w:rPr>
      </w:r>
      <w:r/>
    </w:p>
    <w:p>
      <w:pPr>
        <w:pStyle w:val="1182"/>
        <w:spacing w:line="257" w:lineRule="auto"/>
      </w:pPr>
      <w:r/>
      <w:r/>
    </w:p>
    <w:p>
      <w:pPr>
        <w:pStyle w:val="1182"/>
        <w:spacing w:line="257" w:lineRule="auto"/>
      </w:pPr>
      <w:r/>
      <w:r/>
    </w:p>
    <w:p>
      <w:pPr>
        <w:pStyle w:val="1182"/>
        <w:spacing w:line="257" w:lineRule="auto"/>
      </w:pPr>
      <w:r/>
      <w:r/>
    </w:p>
    <w:p>
      <w:pPr>
        <w:pStyle w:val="1182"/>
        <w:jc w:val="right"/>
        <w:spacing w:line="257" w:lineRule="auto"/>
      </w:pPr>
      <w:r>
        <w:rPr>
          <w:rFonts w:hint="eastAsia"/>
        </w:rPr>
        <w:t xml:space="preserve">苏州市吴江区横扇街道综合行政执法</w:t>
      </w:r>
      <w:r/>
    </w:p>
    <w:p>
      <w:pPr>
        <w:pStyle w:val="1182"/>
        <w:jc w:val="right"/>
        <w:spacing w:line="257" w:lineRule="auto"/>
      </w:pPr>
      <w:r>
        <w:rPr>
          <w:rFonts w:hint="eastAsia"/>
        </w:rPr>
        <w:t xml:space="preserve">和安全生产监督管理办公室</w:t>
      </w:r>
      <w:r/>
    </w:p>
    <w:p>
      <w:pPr>
        <w:pStyle w:val="1182"/>
        <w:jc w:val="right"/>
        <w:spacing w:line="257" w:lineRule="auto"/>
      </w:pPr>
      <w:r/>
      <w:r/>
    </w:p>
    <w:p>
      <w:pPr>
        <w:pStyle w:val="1182"/>
        <w:spacing w:line="257" w:lineRule="auto"/>
      </w:pPr>
      <w:r/>
      <w:bookmarkEnd w:id="105"/>
      <w:r/>
      <w:r/>
    </w:p>
    <w:p>
      <w:pPr>
        <w:pStyle w:val="1011"/>
        <w:jc w:val="right"/>
        <w:spacing w:line="221" w:lineRule="auto"/>
        <w:rPr>
          <w:rFonts w:ascii="宋体" w:hAnsi="宋体" w:cs="宋体"/>
        </w:rPr>
        <w:sectPr>
          <w:headerReference w:type="default" r:id="rId25"/>
          <w:footnotePr/>
          <w:endnotePr/>
          <w:type w:val="nextPage"/>
          <w:pgSz w:w="11907" w:h="16839" w:orient="portrait"/>
          <w:pgMar w:top="907" w:right="1077" w:bottom="673" w:left="434" w:header="601" w:footer="511" w:gutter="0"/>
          <w:cols w:num="1" w:sep="0" w:space="720" w:equalWidth="1"/>
          <w:docGrid w:linePitch="360"/>
        </w:sectPr>
      </w:pPr>
      <w:r>
        <w:rPr>
          <w:rFonts w:ascii="宋体" w:hAnsi="宋体" w:cs="宋体"/>
        </w:rPr>
        <w:t xml:space="preserve">年月日</w:t>
      </w:r>
      <w:r/>
    </w:p>
    <w:p>
      <w:pPr>
        <w:pStyle w:val="1011"/>
        <w:ind w:left="3341"/>
        <w:spacing w:before="136" w:line="225" w:lineRule="auto"/>
        <w:rPr>
          <w:rFonts w:ascii="宋体" w:hAnsi="宋体" w:cs="宋体"/>
          <w:sz w:val="31"/>
          <w:szCs w:val="31"/>
        </w:rPr>
        <w:outlineLvl w:val="0"/>
      </w:pPr>
      <w:r/>
      <w:bookmarkStart w:id="109" w:name="bookmark8"/>
      <w:r/>
      <w:bookmarkEnd w:id="109"/>
      <w:r/>
      <w:bookmarkStart w:id="110" w:name="_Toc212041565"/>
      <w:r>
        <w:rPr>
          <w:rFonts w:ascii="宋体" w:hAnsi="宋体" w:cs="宋体"/>
          <w:b/>
          <w:bCs/>
          <w:spacing w:val="6"/>
          <w:sz w:val="31"/>
          <w:szCs w:val="31"/>
        </w:rPr>
        <w:t xml:space="preserve">第六章评审办法及评分标准</w:t>
      </w:r>
      <w:bookmarkEnd w:id="110"/>
      <w:r>
        <w:rPr>
          <w:rFonts w:ascii="宋体" w:hAnsi="宋体" w:cs="宋体"/>
          <w:sz w:val="31"/>
          <w:szCs w:val="31"/>
        </w:rPr>
      </w:r>
      <w:r/>
    </w:p>
    <w:p>
      <w:pPr>
        <w:pStyle w:val="1011"/>
        <w:ind w:left="462"/>
        <w:spacing w:before="233" w:line="221" w:lineRule="auto"/>
        <w:rPr>
          <w:rFonts w:ascii="宋体" w:hAnsi="宋体" w:cs="宋体"/>
        </w:rPr>
      </w:pPr>
      <w:r>
        <w:rPr>
          <w:rFonts w:ascii="宋体" w:hAnsi="宋体" w:cs="宋体"/>
          <w:b/>
          <w:bCs/>
          <w:spacing w:val="-5"/>
        </w:rPr>
        <w:t xml:space="preserve">一、评审办法</w:t>
      </w:r>
      <w:r>
        <w:rPr>
          <w:rFonts w:ascii="宋体" w:hAnsi="宋体" w:cs="宋体"/>
        </w:rPr>
      </w:r>
      <w:r/>
    </w:p>
    <w:p>
      <w:pPr>
        <w:pStyle w:val="1011"/>
        <w:ind w:left="38" w:right="158" w:firstLine="434"/>
        <w:spacing w:before="182" w:line="304" w:lineRule="auto"/>
        <w:rPr>
          <w:rFonts w:ascii="宋体" w:hAnsi="宋体" w:cs="宋体"/>
        </w:rPr>
      </w:pPr>
      <w:r>
        <w:rPr>
          <w:rFonts w:ascii="宋体" w:hAnsi="宋体" w:cs="宋体"/>
        </w:rPr>
        <w:t xml:space="preserve">1、本次招标采用综合评分法，即投标文件满足招标</w:t>
      </w:r>
      <w:r>
        <w:rPr>
          <w:rFonts w:ascii="宋体" w:hAnsi="宋体" w:cs="宋体"/>
          <w:spacing w:val="-1"/>
        </w:rPr>
        <w:t xml:space="preserve">文件全部实质性要求，且按照评审因素的量化指标评审得分最高的投标人为中标人的评标方法。</w:t>
      </w:r>
      <w:r>
        <w:rPr>
          <w:rFonts w:ascii="宋体" w:hAnsi="宋体" w:cs="宋体"/>
        </w:rPr>
      </w:r>
      <w:r/>
    </w:p>
    <w:p>
      <w:pPr>
        <w:pStyle w:val="1011"/>
        <w:ind w:left="38" w:right="74" w:firstLine="421"/>
        <w:spacing w:before="189" w:line="345" w:lineRule="auto"/>
        <w:rPr>
          <w:rFonts w:ascii="宋体" w:hAnsi="宋体" w:cs="宋体"/>
        </w:rPr>
      </w:pPr>
      <w:r>
        <w:rPr>
          <w:rFonts w:ascii="宋体" w:hAnsi="宋体" w:cs="宋体"/>
        </w:rPr>
        <w:t xml:space="preserve">2、采用综合评分法的，按得分由高到低顺序排列；得分相同的，按投标报价由低</w:t>
      </w:r>
      <w:r>
        <w:rPr>
          <w:rFonts w:ascii="宋体" w:hAnsi="宋体" w:cs="宋体"/>
          <w:spacing w:val="-1"/>
        </w:rPr>
        <w:t xml:space="preserve">到高顺序排列，以</w:t>
      </w:r>
      <w:r>
        <w:rPr>
          <w:rFonts w:ascii="宋体" w:hAnsi="宋体" w:cs="宋体"/>
        </w:rPr>
        <w:t xml:space="preserve">实际投标报价较低的优先作为中标人；实际</w:t>
      </w:r>
      <w:r>
        <w:rPr>
          <w:rFonts w:ascii="宋体" w:hAnsi="宋体" w:cs="宋体"/>
          <w:spacing w:val="-1"/>
        </w:rPr>
        <w:t xml:space="preserve">投标报价也相同的，则按照技术指标优劣顺序确定中标人。投</w:t>
      </w:r>
      <w:r>
        <w:rPr>
          <w:rFonts w:ascii="宋体" w:hAnsi="宋体" w:cs="宋体"/>
        </w:rPr>
        <w:t xml:space="preserve">标文件满足招标文件全部实质性要求，且按</w:t>
      </w:r>
      <w:r>
        <w:rPr>
          <w:rFonts w:ascii="宋体" w:hAnsi="宋体" w:cs="宋体"/>
          <w:spacing w:val="-1"/>
        </w:rPr>
        <w:t xml:space="preserve">照评审因素的量化指标评审得分最高的投标人为排名第一的中</w:t>
      </w:r>
      <w:r>
        <w:rPr>
          <w:rFonts w:ascii="宋体" w:hAnsi="宋体" w:cs="宋体"/>
          <w:spacing w:val="-5"/>
        </w:rPr>
        <w:t xml:space="preserve">标候选人。</w:t>
      </w:r>
      <w:r>
        <w:rPr>
          <w:rFonts w:ascii="宋体" w:hAnsi="宋体" w:cs="宋体"/>
        </w:rPr>
      </w:r>
      <w:r/>
    </w:p>
    <w:p>
      <w:pPr>
        <w:pStyle w:val="1011"/>
        <w:ind w:left="35" w:right="75" w:firstLine="425"/>
        <w:spacing w:before="189" w:line="331" w:lineRule="auto"/>
        <w:rPr>
          <w:rFonts w:ascii="宋体" w:hAnsi="宋体" w:cs="宋体"/>
        </w:rPr>
      </w:pPr>
      <w:r>
        <w:rPr>
          <w:rFonts w:ascii="宋体" w:hAnsi="宋体" w:cs="宋体"/>
          <w:spacing w:val="-4"/>
        </w:rPr>
        <w:t xml:space="preserve">3、评标时，评标委员会各成员应当独立对每个投标人的投标文件进行评价、打分，计算出每个投标</w:t>
      </w:r>
      <w:r>
        <w:rPr>
          <w:rFonts w:ascii="宋体" w:hAnsi="宋体" w:cs="宋体"/>
          <w:spacing w:val="-3"/>
        </w:rPr>
        <w:t xml:space="preserve">人的得分（计算结果均四舍五入保留两位小数</w:t>
      </w:r>
      <w:r>
        <w:rPr>
          <w:rFonts w:ascii="宋体" w:hAnsi="宋体" w:cs="宋体"/>
          <w:spacing w:val="-42"/>
        </w:rPr>
        <w:t xml:space="preserve">）；</w:t>
      </w:r>
      <w:r>
        <w:rPr>
          <w:rFonts w:ascii="宋体" w:hAnsi="宋体" w:cs="宋体"/>
          <w:spacing w:val="-3"/>
        </w:rPr>
        <w:t xml:space="preserve">然后汇总，按算术</w:t>
      </w:r>
      <w:r>
        <w:rPr>
          <w:rFonts w:ascii="宋体" w:hAnsi="宋体" w:cs="宋体"/>
          <w:spacing w:val="-4"/>
        </w:rPr>
        <w:t xml:space="preserve">平均方法，计算出每个投标人的得分；</w:t>
      </w:r>
      <w:r>
        <w:rPr>
          <w:rFonts w:ascii="宋体" w:hAnsi="宋体" w:cs="宋体"/>
        </w:rPr>
        <w:t xml:space="preserve">报价得分通过计算直接取得（因落实政府采购政</w:t>
      </w:r>
      <w:r>
        <w:rPr>
          <w:rFonts w:ascii="宋体" w:hAnsi="宋体" w:cs="宋体"/>
          <w:spacing w:val="-1"/>
        </w:rPr>
        <w:t xml:space="preserve">策进行价格调整的，以调整后的价格计算评标基准价和投标报价</w:t>
      </w:r>
      <w:r>
        <w:rPr>
          <w:rFonts w:ascii="宋体" w:hAnsi="宋体" w:cs="宋体"/>
          <w:spacing w:val="10"/>
        </w:rPr>
        <w:t xml:space="preserve">）；</w:t>
      </w:r>
      <w:r>
        <w:rPr>
          <w:rFonts w:ascii="宋体" w:hAnsi="宋体" w:cs="宋体"/>
          <w:spacing w:val="-1"/>
        </w:rPr>
        <w:t xml:space="preserve">报价得分加评委算术平均得分，为投标人的总得分。</w:t>
      </w:r>
      <w:r>
        <w:rPr>
          <w:rFonts w:ascii="宋体" w:hAnsi="宋体" w:cs="宋体"/>
        </w:rPr>
      </w:r>
      <w:r/>
    </w:p>
    <w:p>
      <w:pPr>
        <w:pStyle w:val="1183"/>
        <w:spacing w:after="0" w:line="360" w:lineRule="auto"/>
        <w:rPr>
          <w:rFonts w:ascii="宋体" w:hAnsi="宋体" w:cs="宋体"/>
          <w:spacing w:val="-2"/>
        </w:rPr>
      </w:pPr>
      <w:r>
        <w:rPr>
          <w:rFonts w:hint="eastAsia" w:ascii="宋体" w:hAnsi="宋体" w:cs="宋体"/>
          <w:spacing w:val="-2"/>
        </w:rPr>
        <w:t xml:space="preserve">4、针对中小型企业的评审：</w:t>
      </w:r>
      <w:r>
        <w:rPr>
          <w:rFonts w:ascii="宋体" w:hAnsi="宋体" w:cs="宋体"/>
          <w:spacing w:val="-2"/>
        </w:rPr>
      </w:r>
      <w:r/>
    </w:p>
    <w:p>
      <w:pPr>
        <w:pStyle w:val="1183"/>
        <w:ind w:firstLine="420"/>
        <w:spacing w:after="0" w:line="360" w:lineRule="auto"/>
      </w:pPr>
      <w:r>
        <w:t xml:space="preserve">根据财政部、工业和信息化部关于印发意见“财库〔2020〕46号” 关于印发《政府采购促进中小企业发展管理办法》的通知及苏州市财政局、苏州市工业和信息化局关于印发意见“苏财购〔2022〕16号”关于印发《苏州市政府采购促进中小企业发展实施意见》的通知规定，对属于小型、微型企业的投标人给予评审优惠：</w:t>
      </w:r>
      <w:r/>
    </w:p>
    <w:p>
      <w:pPr>
        <w:pStyle w:val="1011"/>
        <w:ind w:left="36" w:right="112" w:firstLine="626"/>
        <w:spacing w:before="216" w:line="410" w:lineRule="auto"/>
        <w:rPr>
          <w:rFonts w:ascii="宋体" w:hAnsi="宋体" w:cs="宋体"/>
        </w:rPr>
      </w:pPr>
      <w:r>
        <w:rPr>
          <w:rFonts w:hint="eastAsia" w:ascii="宋体" w:hAnsi="宋体" w:cs="宋体"/>
          <w:b/>
        </w:rPr>
        <w:t xml:space="preserve">本项目为非专门面向中小企业采购的项目按照以下优惠政策执行：</w:t>
      </w:r>
      <w:r>
        <w:rPr>
          <w:rFonts w:ascii="宋体" w:hAnsi="宋体" w:cs="宋体"/>
        </w:rPr>
      </w:r>
      <w:r/>
    </w:p>
    <w:p>
      <w:pPr>
        <w:pStyle w:val="1224"/>
        <w:ind w:firstLine="525"/>
      </w:pPr>
      <w:r>
        <w:rPr>
          <w:rFonts w:hint="eastAsia"/>
        </w:rPr>
        <w:t xml:space="preserve">（1）在服务采购项目中，服务由小型或微型企业承接，即提供服务的人员为按照《中华人民共和国劳动合同法》订立劳动合同的从业人员，对其报价给予</w:t>
      </w:r>
      <w:r>
        <w:t xml:space="preserve">20%</w:t>
      </w:r>
      <w:r>
        <w:rPr>
          <w:rFonts w:hint="eastAsia"/>
        </w:rPr>
        <w:t xml:space="preserve">的扣除，扣除后的价格参与价格评审。</w:t>
      </w:r>
      <w:r/>
    </w:p>
    <w:p>
      <w:pPr>
        <w:pStyle w:val="1224"/>
        <w:ind w:left="420" w:firstLine="630"/>
      </w:pPr>
      <w:r>
        <w:t xml:space="preserve">服务类项目中投标人若使用退休人员，将不享受小微企业价格扣除优惠政策。</w:t>
      </w:r>
      <w:r/>
    </w:p>
    <w:p>
      <w:pPr>
        <w:pStyle w:val="1224"/>
        <w:ind w:firstLine="420"/>
      </w:pPr>
      <w:r>
        <w:rPr>
          <w:rFonts w:hint="eastAsia"/>
        </w:rPr>
        <w:t xml:space="preserve">（</w:t>
      </w:r>
      <w:r>
        <w:t xml:space="preserve">2</w:t>
      </w:r>
      <w:r>
        <w:rPr>
          <w:rFonts w:hint="eastAsia"/>
        </w:rPr>
        <w:t xml:space="preserve">）中小微企业在投标文件中提供签署的《中小企业声明函》。未按采购文件的规定在投标文件中提供《中小企业声明函》的，不享受促进中小微企业发展的相关政府采购政策。</w:t>
      </w:r>
      <w:r/>
    </w:p>
    <w:p>
      <w:pPr>
        <w:pStyle w:val="1224"/>
        <w:ind w:firstLine="420"/>
      </w:pPr>
      <w:r>
        <w:rPr>
          <w:rFonts w:hint="eastAsia" w:ascii="宋体" w:hAnsi="宋体" w:cs="宋体"/>
          <w:spacing w:val="-1"/>
        </w:rPr>
        <w:t xml:space="preserve">（3）</w:t>
      </w:r>
      <w:r>
        <w:rPr>
          <w:rFonts w:hint="eastAsia"/>
        </w:rPr>
        <w:t xml:space="preserve">以上规定未尽事项，按《政府采购促进中小企业发展管理办法》、《苏州市政府采购促进中小企业发展实施意见》等有关制度规定执行。</w:t>
      </w:r>
      <w:r/>
    </w:p>
    <w:p>
      <w:pPr>
        <w:pStyle w:val="1011"/>
        <w:ind w:left="37" w:right="77" w:firstLine="421"/>
        <w:spacing w:before="217" w:line="410" w:lineRule="auto"/>
        <w:rPr>
          <w:rFonts w:ascii="宋体" w:hAnsi="宋体" w:cs="宋体"/>
        </w:rPr>
      </w:pPr>
      <w:r>
        <w:rPr>
          <w:rFonts w:hint="eastAsia" w:ascii="宋体" w:hAnsi="宋体" w:cs="宋体"/>
          <w:b/>
          <w:bCs/>
          <w:spacing w:val="-2"/>
        </w:rPr>
        <w:t xml:space="preserve">注：①填报“中小企业声明函”需严格按“工信部联企业〔2011〕300号通知”中的《中小企业</w:t>
      </w:r>
      <w:r>
        <w:rPr>
          <w:rFonts w:hint="eastAsia" w:ascii="宋体" w:hAnsi="宋体" w:cs="宋体"/>
          <w:b/>
          <w:bCs/>
          <w:spacing w:val="-3"/>
        </w:rPr>
        <w:t xml:space="preserve">划型</w:t>
      </w:r>
      <w:r>
        <w:rPr>
          <w:rFonts w:hint="eastAsia" w:ascii="宋体" w:hAnsi="宋体" w:cs="宋体"/>
          <w:b/>
          <w:bCs/>
          <w:spacing w:val="-6"/>
        </w:rPr>
        <w:t xml:space="preserve">标准规定》进行。</w:t>
      </w:r>
      <w:r>
        <w:rPr>
          <w:rFonts w:ascii="宋体" w:hAnsi="宋体" w:cs="宋体"/>
        </w:rPr>
      </w:r>
      <w:r/>
    </w:p>
    <w:p>
      <w:pPr>
        <w:pStyle w:val="1011"/>
        <w:ind w:left="57" w:right="77" w:firstLine="820"/>
        <w:spacing w:line="314" w:lineRule="auto"/>
        <w:rPr>
          <w:rFonts w:ascii="宋体" w:hAnsi="宋体" w:cs="宋体"/>
        </w:rPr>
      </w:pPr>
      <w:r>
        <w:rPr>
          <w:rFonts w:hint="eastAsia" w:ascii="宋体" w:hAnsi="宋体" w:cs="宋体"/>
          <w:b/>
          <w:bCs/>
        </w:rPr>
        <w:t xml:space="preserve">②若投标单位提供的“中小企业声明函”为虚假声明则视同</w:t>
      </w:r>
      <w:r>
        <w:rPr>
          <w:rFonts w:hint="eastAsia" w:ascii="宋体" w:hAnsi="宋体" w:cs="宋体"/>
          <w:b/>
          <w:bCs/>
          <w:spacing w:val="-1"/>
        </w:rPr>
        <w:t xml:space="preserve">提供虚假材料，按《中华人民共和</w:t>
      </w:r>
      <w:r>
        <w:rPr>
          <w:rFonts w:hint="eastAsia" w:ascii="宋体" w:hAnsi="宋体" w:cs="宋体"/>
          <w:b/>
          <w:bCs/>
          <w:spacing w:val="-3"/>
        </w:rPr>
        <w:t xml:space="preserve">国政府采购法》相关规定处理并报请政府监管</w:t>
      </w:r>
      <w:r>
        <w:rPr>
          <w:rFonts w:hint="eastAsia" w:ascii="宋体" w:hAnsi="宋体" w:cs="宋体"/>
          <w:b/>
          <w:bCs/>
          <w:spacing w:val="-4"/>
        </w:rPr>
        <w:t xml:space="preserve">部门给予行政处罚。</w:t>
      </w:r>
      <w:r>
        <w:rPr>
          <w:rFonts w:ascii="宋体" w:hAnsi="宋体" w:cs="宋体"/>
        </w:rPr>
      </w:r>
      <w:r/>
    </w:p>
    <w:p>
      <w:pPr>
        <w:pStyle w:val="1011"/>
        <w:ind w:left="461"/>
        <w:spacing w:before="217" w:line="220" w:lineRule="auto"/>
        <w:rPr>
          <w:rFonts w:ascii="宋体" w:hAnsi="宋体" w:cs="宋体"/>
        </w:rPr>
      </w:pPr>
      <w:r>
        <w:rPr>
          <w:rFonts w:hint="eastAsia" w:ascii="宋体" w:hAnsi="宋体" w:cs="宋体"/>
          <w:spacing w:val="-2"/>
        </w:rPr>
        <w:t xml:space="preserve">5、针对残疾人福利性单位的评审</w:t>
      </w:r>
      <w:r>
        <w:rPr>
          <w:rFonts w:ascii="宋体" w:hAnsi="宋体" w:cs="宋体"/>
        </w:rPr>
      </w:r>
      <w:r/>
    </w:p>
    <w:p>
      <w:pPr>
        <w:pStyle w:val="1011"/>
        <w:ind w:left="38" w:right="74" w:firstLine="418"/>
        <w:spacing w:before="217" w:line="410" w:lineRule="auto"/>
        <w:rPr>
          <w:rFonts w:ascii="宋体" w:hAnsi="宋体" w:cs="宋体"/>
        </w:rPr>
      </w:pPr>
      <w:r>
        <w:rPr>
          <w:rFonts w:hint="eastAsia" w:ascii="宋体" w:hAnsi="宋体" w:cs="宋体"/>
        </w:rPr>
        <w:t xml:space="preserve">根据《关于促进残疾人就业政府采购政策的通知》</w:t>
      </w:r>
      <w:r>
        <w:rPr>
          <w:rFonts w:hint="eastAsia" w:ascii="宋体" w:hAnsi="宋体" w:cs="宋体"/>
          <w:spacing w:val="-1"/>
        </w:rPr>
        <w:t xml:space="preserve">（财库〔2017〕141 号）的通知规定，对属于残疾</w:t>
      </w:r>
      <w:r>
        <w:rPr>
          <w:rFonts w:hint="eastAsia" w:ascii="宋体" w:hAnsi="宋体" w:cs="宋体"/>
          <w:spacing w:val="-2"/>
        </w:rPr>
        <w:t xml:space="preserve">人福利性单位的投标单位给予评审：</w:t>
      </w:r>
      <w:r>
        <w:rPr>
          <w:rFonts w:ascii="宋体" w:hAnsi="宋体" w:cs="宋体"/>
        </w:rPr>
      </w:r>
      <w:r/>
    </w:p>
    <w:p>
      <w:pPr>
        <w:pStyle w:val="1011"/>
        <w:ind w:left="40" w:firstLine="416"/>
        <w:jc w:val="both"/>
        <w:spacing w:before="1" w:line="410" w:lineRule="auto"/>
        <w:rPr>
          <w:rFonts w:ascii="宋体" w:hAnsi="宋体" w:cs="宋体"/>
        </w:rPr>
      </w:pPr>
      <w:r>
        <w:rPr>
          <w:rFonts w:hint="eastAsia" w:ascii="宋体" w:hAnsi="宋体" w:cs="宋体"/>
          <w:spacing w:val="1"/>
        </w:rPr>
        <w:t xml:space="preserve">残疾人福利性单位视同小型、微型企业，享受评审中价格扣除等促进中小企业发展的政府采购政策。</w:t>
      </w:r>
      <w:r>
        <w:rPr>
          <w:rFonts w:hint="eastAsia" w:ascii="宋体" w:hAnsi="宋体" w:cs="宋体"/>
          <w:spacing w:val="-1"/>
        </w:rPr>
        <w:t xml:space="preserve">向残疾人福利性单位采购的金额，计入面向中小企业采购的统计数据。残疾人福利性单位属于小型、微型企业的，不重复享受政策。</w:t>
      </w:r>
      <w:r>
        <w:rPr>
          <w:rFonts w:ascii="宋体" w:hAnsi="宋体" w:cs="宋体"/>
        </w:rPr>
      </w:r>
      <w:r/>
    </w:p>
    <w:p>
      <w:pPr>
        <w:pStyle w:val="1011"/>
        <w:ind w:left="458"/>
        <w:spacing w:before="1" w:line="218" w:lineRule="auto"/>
        <w:rPr>
          <w:rFonts w:ascii="宋体" w:hAnsi="宋体" w:cs="宋体"/>
        </w:rPr>
      </w:pPr>
      <w:r>
        <w:rPr>
          <w:rFonts w:hint="eastAsia" w:ascii="宋体" w:hAnsi="宋体" w:cs="宋体"/>
          <w:spacing w:val="-4"/>
        </w:rPr>
        <w:t xml:space="preserve">符合规定条件的残疾人福利性单位在参加投标时，</w:t>
      </w:r>
      <w:r>
        <w:rPr>
          <w:rFonts w:hint="eastAsia" w:ascii="宋体" w:hAnsi="宋体" w:cs="宋体"/>
          <w:spacing w:val="-5"/>
        </w:rPr>
        <w:t xml:space="preserve">应当提供《残疾人福利性单位声明函》（见附件</w:t>
      </w:r>
      <w:r>
        <w:rPr>
          <w:rFonts w:hint="eastAsia" w:ascii="宋体" w:hAnsi="宋体" w:cs="宋体"/>
          <w:spacing w:val="-13"/>
        </w:rPr>
        <w:t xml:space="preserve">），</w:t>
      </w:r>
      <w:r>
        <w:rPr>
          <w:rFonts w:ascii="宋体" w:hAnsi="宋体" w:cs="宋体"/>
        </w:rPr>
      </w:r>
      <w:r/>
    </w:p>
    <w:p>
      <w:pPr>
        <w:pStyle w:val="1011"/>
        <w:ind w:left="36" w:right="70" w:firstLine="5"/>
        <w:jc w:val="both"/>
        <w:spacing w:before="115" w:line="410" w:lineRule="auto"/>
        <w:rPr>
          <w:rFonts w:ascii="宋体" w:hAnsi="宋体" w:cs="宋体"/>
        </w:rPr>
      </w:pPr>
      <w:r>
        <w:rPr>
          <w:rFonts w:hint="eastAsia" w:ascii="宋体" w:hAnsi="宋体" w:cs="宋体"/>
          <w:spacing w:val="-1"/>
        </w:rPr>
        <w:t xml:space="preserve">并对声明的真实性负责。任何单位或者个人在政府采购活动中均不得要求残疾人福利性单位提供其他证明</w:t>
      </w:r>
      <w:r>
        <w:rPr>
          <w:rFonts w:hint="eastAsia" w:ascii="宋体" w:hAnsi="宋体" w:cs="宋体"/>
        </w:rPr>
        <w:t xml:space="preserve">声明函内容的材料。投标单位提供的《残疾人</w:t>
      </w:r>
      <w:r>
        <w:rPr>
          <w:rFonts w:hint="eastAsia" w:ascii="宋体" w:hAnsi="宋体" w:cs="宋体"/>
          <w:spacing w:val="-1"/>
        </w:rPr>
        <w:t xml:space="preserve">福利性单位声明函》与事实不符的，依照《中华人民共和国政府采购法》第七十七条第一款的规定追究法律责任。</w:t>
      </w:r>
      <w:r>
        <w:rPr>
          <w:rFonts w:ascii="宋体" w:hAnsi="宋体" w:cs="宋体"/>
        </w:rPr>
      </w:r>
      <w:r/>
    </w:p>
    <w:p>
      <w:pPr>
        <w:pStyle w:val="1011"/>
        <w:ind w:left="458"/>
        <w:spacing w:line="220" w:lineRule="auto"/>
        <w:rPr>
          <w:rFonts w:ascii="宋体" w:hAnsi="宋体" w:cs="宋体"/>
        </w:rPr>
      </w:pPr>
      <w:r>
        <w:rPr>
          <w:rFonts w:hint="eastAsia" w:ascii="宋体" w:hAnsi="宋体" w:cs="宋体"/>
          <w:spacing w:val="-2"/>
        </w:rPr>
        <w:t xml:space="preserve">6、针对监狱企业的评审</w:t>
      </w:r>
      <w:r>
        <w:rPr>
          <w:rFonts w:ascii="宋体" w:hAnsi="宋体" w:cs="宋体"/>
        </w:rPr>
      </w:r>
      <w:r/>
    </w:p>
    <w:p>
      <w:pPr>
        <w:pStyle w:val="1011"/>
        <w:ind w:left="38" w:right="69" w:firstLine="419"/>
        <w:spacing w:before="216" w:line="410" w:lineRule="auto"/>
        <w:rPr>
          <w:rFonts w:ascii="宋体" w:hAnsi="宋体" w:cs="宋体"/>
        </w:rPr>
      </w:pPr>
      <w:r>
        <w:rPr>
          <w:rFonts w:hint="eastAsia" w:ascii="宋体" w:hAnsi="宋体" w:cs="宋体"/>
          <w:spacing w:val="-2"/>
        </w:rPr>
        <w:t xml:space="preserve">根据《关于政府采购支持监狱企业发展有关问题的通知》（财库〔2014〕68号）的通知规定，对属于</w:t>
      </w:r>
      <w:r>
        <w:rPr>
          <w:rFonts w:hint="eastAsia" w:ascii="宋体" w:hAnsi="宋体" w:cs="宋体"/>
          <w:spacing w:val="-3"/>
        </w:rPr>
        <w:t xml:space="preserve">监狱企业的投标单位给予评审：</w:t>
      </w:r>
      <w:r>
        <w:rPr>
          <w:rFonts w:ascii="宋体" w:hAnsi="宋体" w:cs="宋体"/>
        </w:rPr>
      </w:r>
      <w:r/>
    </w:p>
    <w:p>
      <w:pPr>
        <w:pStyle w:val="1011"/>
        <w:jc w:val="right"/>
        <w:spacing w:line="218" w:lineRule="auto"/>
        <w:rPr>
          <w:rFonts w:ascii="宋体" w:hAnsi="宋体" w:cs="宋体"/>
        </w:rPr>
      </w:pPr>
      <w:r>
        <w:rPr>
          <w:rFonts w:hint="eastAsia" w:ascii="宋体" w:hAnsi="宋体" w:cs="宋体"/>
          <w:spacing w:val="1"/>
        </w:rPr>
        <w:t xml:space="preserve">监狱企业视同小型、微型企业，享受评审中价格扣除等政府采购促进中小企业发展的政府采购政</w:t>
      </w:r>
      <w:r>
        <w:rPr>
          <w:rFonts w:hint="eastAsia" w:ascii="宋体" w:hAnsi="宋体" w:cs="宋体"/>
        </w:rPr>
        <w:t xml:space="preserve">策。</w:t>
      </w:r>
      <w:r>
        <w:rPr>
          <w:rFonts w:ascii="宋体" w:hAnsi="宋体" w:cs="宋体"/>
        </w:rPr>
      </w:r>
      <w:r/>
    </w:p>
    <w:p>
      <w:pPr>
        <w:pStyle w:val="1011"/>
        <w:ind w:left="56" w:right="68" w:firstLine="402"/>
        <w:spacing w:before="218" w:line="410" w:lineRule="auto"/>
        <w:rPr>
          <w:rFonts w:ascii="宋体" w:hAnsi="宋体" w:cs="宋体"/>
        </w:rPr>
      </w:pPr>
      <w:r>
        <w:rPr>
          <w:rFonts w:hint="eastAsia" w:ascii="宋体" w:hAnsi="宋体" w:cs="宋体"/>
          <w:spacing w:val="-1"/>
        </w:rPr>
        <w:t xml:space="preserve">符合条件的监狱企业参加投标时，应当提供由省级以上监狱管理局、戒毒管理局（含新疆生产建设兵</w:t>
      </w:r>
      <w:r>
        <w:rPr>
          <w:rFonts w:hint="eastAsia" w:ascii="宋体" w:hAnsi="宋体" w:cs="宋体"/>
          <w:spacing w:val="-2"/>
        </w:rPr>
        <w:t xml:space="preserve">团）出具的属于监狱企业的证明文件。</w:t>
      </w:r>
      <w:r>
        <w:rPr>
          <w:rFonts w:ascii="宋体" w:hAnsi="宋体" w:cs="宋体"/>
        </w:rPr>
      </w:r>
      <w:r/>
    </w:p>
    <w:p>
      <w:pPr>
        <w:pStyle w:val="1224"/>
        <w:ind w:firstLine="422"/>
        <w:rPr>
          <w:b/>
          <w:bCs/>
        </w:rPr>
      </w:pPr>
      <w:r>
        <w:rPr>
          <w:rFonts w:hint="eastAsia" w:ascii="宋体" w:hAnsi="宋体" w:cs="宋体"/>
          <w:b/>
          <w:bCs/>
          <w:spacing w:val="-2"/>
        </w:rPr>
        <w:t xml:space="preserve">注：</w:t>
      </w:r>
      <w:r>
        <w:rPr>
          <w:rFonts w:hint="eastAsia"/>
          <w:b/>
          <w:bCs/>
        </w:rPr>
        <w:t xml:space="preserve">上述优惠政策不重复享受。</w:t>
      </w:r>
      <w:r>
        <w:rPr>
          <w:b/>
          <w:bCs/>
        </w:rPr>
      </w:r>
      <w:r/>
    </w:p>
    <w:p>
      <w:pPr>
        <w:pStyle w:val="1011"/>
        <w:ind w:left="455"/>
        <w:spacing w:before="146" w:line="222" w:lineRule="auto"/>
        <w:rPr>
          <w:rFonts w:ascii="宋体" w:hAnsi="宋体" w:cs="宋体"/>
        </w:rPr>
      </w:pPr>
      <w:r>
        <w:rPr>
          <w:rFonts w:ascii="宋体" w:hAnsi="宋体" w:cs="宋体"/>
          <w:b/>
          <w:bCs/>
          <w:spacing w:val="-3"/>
        </w:rPr>
        <w:t xml:space="preserve">二、评分标准</w:t>
      </w:r>
      <w:r>
        <w:rPr>
          <w:rFonts w:ascii="宋体" w:hAnsi="宋体" w:cs="宋体"/>
        </w:rPr>
      </w:r>
      <w:r/>
    </w:p>
    <w:p>
      <w:pPr>
        <w:pStyle w:val="1011"/>
        <w:ind w:left="36" w:right="79" w:firstLine="422"/>
        <w:spacing w:before="216" w:line="411" w:lineRule="auto"/>
        <w:rPr>
          <w:rFonts w:ascii="宋体" w:hAnsi="宋体" w:cs="宋体"/>
        </w:rPr>
      </w:pPr>
      <w:r>
        <w:rPr>
          <w:rFonts w:ascii="宋体" w:hAnsi="宋体" w:cs="宋体"/>
          <w:spacing w:val="-2"/>
        </w:rPr>
        <w:t xml:space="preserve">总分值为100分，评审因素及各比重如下：价格分值占总分值的比重为15%（权重</w:t>
      </w:r>
      <w:r>
        <w:rPr>
          <w:rFonts w:ascii="宋体" w:hAnsi="宋体" w:cs="宋体"/>
          <w:spacing w:val="8"/>
        </w:rPr>
        <w:t xml:space="preserve">），</w:t>
      </w:r>
      <w:r>
        <w:rPr>
          <w:rFonts w:ascii="宋体" w:hAnsi="宋体" w:cs="宋体"/>
          <w:spacing w:val="-2"/>
        </w:rPr>
        <w:t xml:space="preserve">技术部分及其他分值占总分值的比重为85%（权重）。</w:t>
      </w:r>
      <w:r>
        <w:rPr>
          <w:rFonts w:ascii="宋体" w:hAnsi="宋体" w:cs="宋体"/>
        </w:rPr>
      </w:r>
      <w:r/>
    </w:p>
    <w:p>
      <w:pPr>
        <w:pStyle w:val="1011"/>
        <w:ind w:left="496"/>
        <w:spacing w:before="1" w:line="219" w:lineRule="auto"/>
        <w:rPr>
          <w:rFonts w:ascii="宋体" w:hAnsi="宋体" w:cs="宋体"/>
        </w:rPr>
      </w:pPr>
      <w:r>
        <w:rPr>
          <w:rFonts w:ascii="宋体" w:hAnsi="宋体" w:cs="宋体"/>
          <w:b/>
          <w:bCs/>
          <w:spacing w:val="-7"/>
        </w:rPr>
        <w:t xml:space="preserve">(一)报价得分（15分）</w:t>
      </w:r>
      <w:r>
        <w:rPr>
          <w:rFonts w:ascii="宋体" w:hAnsi="宋体" w:cs="宋体"/>
        </w:rPr>
      </w:r>
      <w:r/>
    </w:p>
    <w:p>
      <w:pPr>
        <w:pStyle w:val="1011"/>
        <w:ind w:left="36" w:right="78" w:firstLine="436"/>
        <w:spacing w:before="217" w:line="316" w:lineRule="auto"/>
        <w:rPr>
          <w:rFonts w:ascii="宋体" w:hAnsi="宋体" w:cs="宋体"/>
        </w:rPr>
      </w:pPr>
      <w:r>
        <w:rPr>
          <w:rFonts w:ascii="宋体" w:hAnsi="宋体" w:cs="宋体"/>
          <w:spacing w:val="1"/>
        </w:rPr>
        <w:t xml:space="preserve">1、投标报价不超过采购预算价格，且投标单价不超过综合单价最高限价的，为有效投标报价。超财</w:t>
      </w:r>
      <w:r>
        <w:rPr>
          <w:rFonts w:ascii="宋体" w:hAnsi="宋体" w:cs="宋体"/>
        </w:rPr>
        <w:t xml:space="preserve">政预算或最高限价的投标报价为无效投标报价。无效投标报价的投标文件不进行评审，也不得</w:t>
      </w:r>
      <w:r>
        <w:rPr>
          <w:rFonts w:ascii="宋体" w:hAnsi="宋体" w:cs="宋体"/>
          <w:spacing w:val="-1"/>
        </w:rPr>
        <w:t xml:space="preserve">标。</w:t>
      </w:r>
      <w:r>
        <w:rPr>
          <w:rFonts w:ascii="宋体" w:hAnsi="宋体" w:cs="宋体"/>
        </w:rPr>
      </w:r>
      <w:r/>
    </w:p>
    <w:p>
      <w:pPr>
        <w:pStyle w:val="1011"/>
        <w:ind w:left="37" w:firstLine="421"/>
        <w:spacing w:before="219" w:line="373" w:lineRule="auto"/>
        <w:rPr>
          <w:rFonts w:ascii="宋体" w:hAnsi="宋体" w:cs="宋体"/>
        </w:rPr>
      </w:pPr>
      <w:r>
        <w:rPr>
          <w:rFonts w:ascii="宋体" w:hAnsi="宋体" w:cs="宋体"/>
        </w:rPr>
        <w:t xml:space="preserve">2、报价得分采用低价优先法计算，即满足招标文件要求且最后报价最低的投标人</w:t>
      </w:r>
      <w:r>
        <w:rPr>
          <w:rFonts w:ascii="宋体" w:hAnsi="宋体" w:cs="宋体"/>
          <w:spacing w:val="-1"/>
        </w:rPr>
        <w:t xml:space="preserve">的价格为评审基准价（如投标人为小微企业、残疾人企业或监狱企业的的，</w:t>
      </w:r>
      <w:r>
        <w:rPr>
          <w:rFonts w:ascii="宋体" w:hAnsi="宋体" w:cs="宋体"/>
          <w:spacing w:val="-2"/>
        </w:rPr>
        <w:t xml:space="preserve">其价格给</w:t>
      </w:r>
      <w:r>
        <w:rPr>
          <w:rFonts w:ascii="宋体" w:hAnsi="宋体" w:cs="宋体"/>
          <w:color w:val="000000" w:themeColor="text1"/>
          <w:spacing w:val="-2"/>
          <w:highlight w:val="white"/>
        </w:rPr>
        <w:t xml:space="preserve">予</w:t>
      </w:r>
      <w:r>
        <w:rPr>
          <w:rFonts w:hint="eastAsia" w:ascii="Times New Roman" w:hAnsi="Times New Roman" w:cs="Times New Roman"/>
          <w:color w:val="000000" w:themeColor="text1"/>
          <w:spacing w:val="-2"/>
          <w:highlight w:val="white"/>
        </w:rPr>
        <w:t xml:space="preserve">20</w:t>
      </w:r>
      <w:r>
        <w:rPr>
          <w:rFonts w:ascii="Times New Roman" w:hAnsi="Times New Roman" w:eastAsia="Times New Roman" w:cs="Times New Roman"/>
          <w:color w:val="000000" w:themeColor="text1"/>
          <w:spacing w:val="-2"/>
          <w:highlight w:val="white"/>
        </w:rPr>
        <w:t xml:space="preserve">%</w:t>
      </w:r>
      <w:r>
        <w:rPr>
          <w:rFonts w:ascii="宋体" w:hAnsi="宋体" w:cs="宋体"/>
          <w:spacing w:val="-2"/>
        </w:rPr>
        <w:t xml:space="preserve">的扣除，用扣除后的价格参与评</w:t>
      </w:r>
      <w:r>
        <w:rPr>
          <w:rFonts w:ascii="宋体" w:hAnsi="宋体" w:cs="宋体"/>
          <w:spacing w:val="1"/>
        </w:rPr>
        <w:t xml:space="preserve">审；如扣除后的价格为最低价的，则作为评标基准价</w:t>
      </w:r>
      <w:r>
        <w:rPr>
          <w:rFonts w:ascii="宋体" w:hAnsi="宋体" w:cs="宋体"/>
          <w:spacing w:val="-1"/>
        </w:rPr>
        <w:t xml:space="preserve">）</w:t>
      </w:r>
      <w:r>
        <w:rPr>
          <w:rFonts w:ascii="宋体" w:hAnsi="宋体" w:cs="宋体"/>
          <w:spacing w:val="1"/>
        </w:rPr>
        <w:t xml:space="preserve">，中标金额</w:t>
      </w:r>
      <w:r>
        <w:rPr>
          <w:rFonts w:ascii="宋体" w:hAnsi="宋体" w:cs="宋体"/>
        </w:rPr>
        <w:t xml:space="preserve">则以实际报价为准</w:t>
      </w:r>
      <w:r>
        <w:rPr>
          <w:rFonts w:ascii="宋体" w:hAnsi="宋体" w:cs="宋体"/>
          <w:spacing w:val="7"/>
        </w:rPr>
        <w:t xml:space="preserve">，</w:t>
      </w:r>
      <w:r>
        <w:rPr>
          <w:rFonts w:ascii="宋体" w:hAnsi="宋体" w:cs="宋体"/>
        </w:rPr>
        <w:t xml:space="preserve">其价格分为满分。其他投标人的报价得分按照下列公式计算（计算结果四舍五入保留两位小数</w:t>
      </w:r>
      <w:r>
        <w:rPr>
          <w:rFonts w:ascii="宋体" w:hAnsi="宋体" w:cs="宋体"/>
          <w:spacing w:val="-2"/>
        </w:rPr>
        <w:t xml:space="preserve">）：</w:t>
      </w:r>
      <w:r>
        <w:rPr>
          <w:rFonts w:ascii="宋体" w:hAnsi="宋体" w:cs="宋体"/>
        </w:rPr>
        <w:t xml:space="preserve">投标报价得分=（评</w:t>
      </w:r>
      <w:r>
        <w:rPr>
          <w:rFonts w:ascii="宋体" w:hAnsi="宋体" w:cs="宋体"/>
          <w:spacing w:val="-1"/>
        </w:rPr>
        <w:t xml:space="preserve">审基</w:t>
      </w:r>
      <w:r>
        <w:rPr>
          <w:rFonts w:ascii="宋体" w:hAnsi="宋体" w:cs="宋体"/>
          <w:spacing w:val="-3"/>
        </w:rPr>
        <w:t xml:space="preserve">准价/投标报价）×价格权值×100（价格权值为15</w:t>
      </w:r>
      <w:r>
        <w:rPr>
          <w:rFonts w:ascii="宋体" w:hAnsi="宋体" w:cs="宋体"/>
          <w:spacing w:val="-4"/>
        </w:rPr>
        <w:t xml:space="preserve">%）。</w:t>
      </w:r>
      <w:r>
        <w:rPr>
          <w:rFonts w:ascii="宋体" w:hAnsi="宋体" w:cs="宋体"/>
        </w:rPr>
      </w:r>
      <w:r/>
    </w:p>
    <w:p>
      <w:pPr>
        <w:pStyle w:val="1011"/>
        <w:ind w:left="465"/>
        <w:spacing w:before="218" w:line="221" w:lineRule="auto"/>
        <w:rPr>
          <w:rFonts w:ascii="宋体" w:hAnsi="宋体" w:cs="宋体"/>
        </w:rPr>
      </w:pPr>
      <w:r>
        <w:rPr>
          <w:rFonts w:ascii="宋体" w:hAnsi="宋体" w:cs="宋体"/>
          <w:b/>
          <w:bCs/>
        </w:rPr>
        <w:t xml:space="preserve">（二）技术部分（55分）</w:t>
      </w:r>
      <w:r>
        <w:rPr>
          <w:rFonts w:ascii="宋体" w:hAnsi="宋体" w:cs="宋体"/>
        </w:rPr>
      </w:r>
      <w:r/>
    </w:p>
    <w:p>
      <w:pPr>
        <w:pStyle w:val="1011"/>
        <w:ind w:left="475"/>
        <w:spacing w:before="217" w:line="222" w:lineRule="auto"/>
        <w:rPr>
          <w:rFonts w:ascii="宋体" w:hAnsi="宋体" w:cs="宋体"/>
        </w:rPr>
      </w:pPr>
      <w:r>
        <w:rPr>
          <w:rFonts w:ascii="宋体" w:hAnsi="宋体" w:cs="宋体"/>
          <w:b/>
          <w:bCs/>
          <w:spacing w:val="-1"/>
        </w:rPr>
        <w:t xml:space="preserve">1、项目调研与分析（5分）</w:t>
      </w:r>
      <w:r>
        <w:rPr>
          <w:rFonts w:ascii="宋体" w:hAnsi="宋体" w:cs="宋体"/>
        </w:rPr>
      </w:r>
      <w:r/>
    </w:p>
    <w:p>
      <w:pPr>
        <w:pStyle w:val="1011"/>
        <w:ind w:left="38" w:firstLine="418"/>
        <w:spacing w:before="216" w:line="411" w:lineRule="auto"/>
        <w:rPr>
          <w:rFonts w:ascii="宋体" w:hAnsi="宋体" w:cs="宋体"/>
        </w:rPr>
      </w:pPr>
      <w:r>
        <w:rPr>
          <w:rFonts w:ascii="宋体" w:hAnsi="宋体" w:cs="宋体"/>
          <w:spacing w:val="-1"/>
        </w:rPr>
        <w:t xml:space="preserve">针对本项目的项目背景、存在的问题、采购需求、重难点分析等内容进行调研与分析，调研充分、分析全面详细的得5分，调研一般、分析较全面的得3分，分析一般的得1分，未提供上述内容的不得分。</w:t>
      </w:r>
      <w:r>
        <w:rPr>
          <w:rFonts w:ascii="宋体" w:hAnsi="宋体" w:cs="宋体"/>
        </w:rPr>
      </w:r>
      <w:r/>
    </w:p>
    <w:p>
      <w:pPr>
        <w:pStyle w:val="1011"/>
        <w:ind w:left="461"/>
        <w:spacing w:line="221" w:lineRule="auto"/>
        <w:rPr>
          <w:rFonts w:ascii="宋体" w:hAnsi="宋体" w:cs="宋体"/>
        </w:rPr>
      </w:pPr>
      <w:r>
        <w:rPr>
          <w:rFonts w:ascii="宋体" w:hAnsi="宋体" w:cs="宋体"/>
          <w:b/>
          <w:bCs/>
          <w:spacing w:val="-3"/>
        </w:rPr>
        <w:t xml:space="preserve">2、项目的工艺技术方案（10分）</w:t>
      </w:r>
      <w:r>
        <w:rPr>
          <w:rFonts w:ascii="宋体" w:hAnsi="宋体" w:cs="宋体"/>
        </w:rPr>
      </w:r>
      <w:r/>
    </w:p>
    <w:p>
      <w:pPr>
        <w:pStyle w:val="1011"/>
        <w:ind w:left="426" w:right="69" w:firstLine="415"/>
        <w:jc w:val="both"/>
        <w:spacing w:before="115" w:line="411" w:lineRule="auto"/>
        <w:rPr>
          <w:rFonts w:ascii="宋体" w:hAnsi="宋体" w:cs="宋体"/>
        </w:rPr>
      </w:pPr>
      <w:r>
        <w:rPr>
          <w:rFonts w:ascii="宋体" w:hAnsi="宋体" w:cs="宋体"/>
          <w:spacing w:val="-1"/>
        </w:rPr>
        <w:t xml:space="preserve">针对本项目的工艺及技术路线的先进性、合理性，包括但不限于水质分析、排水标准、工艺比选、工艺设计、平面布置、设备选型及配置等，根据以上内容进行分析比较，优秀全面的得10分，良好较全面</w:t>
      </w:r>
      <w:r>
        <w:rPr>
          <w:rFonts w:ascii="宋体" w:hAnsi="宋体" w:cs="宋体"/>
          <w:spacing w:val="-3"/>
        </w:rPr>
        <w:t xml:space="preserve">的得7分，一般的得4分，未提供上述内容的不得分。</w:t>
      </w:r>
      <w:r>
        <w:rPr>
          <w:rFonts w:ascii="宋体" w:hAnsi="宋体" w:cs="宋体"/>
        </w:rPr>
      </w:r>
      <w:r/>
    </w:p>
    <w:p>
      <w:pPr>
        <w:pStyle w:val="1011"/>
        <w:ind w:left="463"/>
        <w:spacing w:line="222" w:lineRule="auto"/>
        <w:rPr>
          <w:rFonts w:ascii="宋体" w:hAnsi="宋体" w:cs="宋体"/>
        </w:rPr>
      </w:pPr>
      <w:r>
        <w:rPr>
          <w:rFonts w:ascii="宋体" w:hAnsi="宋体" w:cs="宋体"/>
          <w:b/>
          <w:bCs/>
          <w:spacing w:val="-4"/>
        </w:rPr>
        <w:t xml:space="preserve">3、项目的运营实施方案（10分）</w:t>
      </w:r>
      <w:r>
        <w:rPr>
          <w:rFonts w:ascii="宋体" w:hAnsi="宋体" w:cs="宋体"/>
        </w:rPr>
      </w:r>
      <w:r/>
    </w:p>
    <w:p>
      <w:pPr>
        <w:pStyle w:val="1011"/>
        <w:ind w:left="35" w:right="14" w:firstLine="421"/>
        <w:jc w:val="both"/>
        <w:spacing w:before="216" w:line="411" w:lineRule="auto"/>
        <w:rPr>
          <w:rFonts w:ascii="宋体" w:hAnsi="宋体" w:cs="宋体"/>
        </w:rPr>
      </w:pPr>
      <w:r>
        <w:rPr>
          <w:rFonts w:ascii="宋体" w:hAnsi="宋体" w:cs="宋体"/>
        </w:rPr>
        <w:t xml:space="preserve">针对本项目的运营实施方案及技术质量保证</w:t>
      </w:r>
      <w:r>
        <w:rPr>
          <w:rFonts w:ascii="宋体" w:hAnsi="宋体" w:cs="宋体"/>
          <w:spacing w:val="-1"/>
        </w:rPr>
        <w:t xml:space="preserve">措施的合理性、可行性，包括但不限于管理架构、人员配</w:t>
      </w:r>
      <w:r>
        <w:rPr>
          <w:rFonts w:ascii="宋体" w:hAnsi="宋体" w:cs="宋体"/>
          <w:spacing w:val="1"/>
        </w:rPr>
        <w:t xml:space="preserve">置、工艺运行管理、设施设备维护、项目安全生产、服务质量保证措</w:t>
      </w:r>
      <w:r>
        <w:rPr>
          <w:rFonts w:ascii="宋体" w:hAnsi="宋体" w:cs="宋体"/>
        </w:rPr>
        <w:t xml:space="preserve">施等，根据以上内容进行分析比较， </w:t>
      </w:r>
      <w:r>
        <w:rPr>
          <w:rFonts w:ascii="宋体" w:hAnsi="宋体" w:cs="宋体"/>
          <w:spacing w:val="-2"/>
        </w:rPr>
        <w:t xml:space="preserve">优秀全面的得10分，良好较全面的得7分，一</w:t>
      </w:r>
      <w:r>
        <w:rPr>
          <w:rFonts w:ascii="宋体" w:hAnsi="宋体" w:cs="宋体"/>
          <w:spacing w:val="-3"/>
        </w:rPr>
        <w:t xml:space="preserve">般的得4分，未提供上述内容的不得分。</w:t>
      </w:r>
      <w:r>
        <w:rPr>
          <w:rFonts w:ascii="宋体" w:hAnsi="宋体" w:cs="宋体"/>
        </w:rPr>
      </w:r>
      <w:r/>
    </w:p>
    <w:p>
      <w:pPr>
        <w:pStyle w:val="1011"/>
        <w:ind w:left="458"/>
        <w:spacing w:line="222" w:lineRule="auto"/>
        <w:rPr>
          <w:rFonts w:ascii="宋体" w:hAnsi="宋体" w:cs="宋体"/>
        </w:rPr>
      </w:pPr>
      <w:r>
        <w:rPr>
          <w:rFonts w:ascii="宋体" w:hAnsi="宋体" w:cs="宋体"/>
          <w:b/>
          <w:bCs/>
        </w:rPr>
        <w:t xml:space="preserve">4、项目进度计划与保证措施（8分）</w:t>
      </w:r>
      <w:r>
        <w:rPr>
          <w:rFonts w:ascii="宋体" w:hAnsi="宋体" w:cs="宋体"/>
        </w:rPr>
      </w:r>
      <w:r/>
    </w:p>
    <w:p>
      <w:pPr>
        <w:pStyle w:val="1011"/>
        <w:ind w:left="36" w:right="69" w:firstLine="420"/>
        <w:jc w:val="both"/>
        <w:spacing w:before="217" w:line="412" w:lineRule="auto"/>
        <w:rPr>
          <w:rFonts w:ascii="宋体" w:hAnsi="宋体" w:cs="宋体"/>
        </w:rPr>
      </w:pPr>
      <w:r>
        <w:rPr>
          <w:rFonts w:ascii="宋体" w:hAnsi="宋体" w:cs="宋体"/>
          <w:spacing w:val="-1"/>
        </w:rPr>
        <w:t xml:space="preserve">针对本项目的进度计划与保证措施（包括但不限于设备供货时间、安装调试周期、服务计划及保证措施</w:t>
      </w:r>
      <w:r>
        <w:rPr>
          <w:rFonts w:ascii="宋体" w:hAnsi="宋体" w:cs="宋体"/>
        </w:rPr>
        <w:t xml:space="preserve">），</w:t>
      </w:r>
      <w:r>
        <w:rPr>
          <w:rFonts w:ascii="宋体" w:hAnsi="宋体" w:cs="宋体"/>
          <w:spacing w:val="-1"/>
        </w:rPr>
        <w:t xml:space="preserve">根据计划及措施的科学性、可行性进行分析比较，</w:t>
      </w:r>
      <w:r>
        <w:rPr>
          <w:rFonts w:ascii="宋体" w:hAnsi="宋体" w:cs="宋体"/>
          <w:spacing w:val="-2"/>
        </w:rPr>
        <w:t xml:space="preserve">优秀全面的得8分，良好较全面的得6分，一般的得4分，未提供上述内容的不得分。</w:t>
      </w:r>
      <w:r>
        <w:rPr>
          <w:rFonts w:ascii="宋体" w:hAnsi="宋体" w:cs="宋体"/>
        </w:rPr>
      </w:r>
      <w:r/>
    </w:p>
    <w:p>
      <w:pPr>
        <w:pStyle w:val="1011"/>
        <w:ind w:left="463"/>
        <w:spacing w:before="39" w:line="221" w:lineRule="auto"/>
        <w:rPr>
          <w:rFonts w:ascii="宋体" w:hAnsi="宋体" w:cs="宋体"/>
        </w:rPr>
      </w:pPr>
      <w:r>
        <w:rPr>
          <w:rFonts w:ascii="宋体" w:hAnsi="宋体" w:cs="宋体"/>
          <w:b/>
          <w:bCs/>
          <w:spacing w:val="-3"/>
        </w:rPr>
        <w:t xml:space="preserve">5、项目实施中的故障处理措施及突发事件处理方案（10分）</w:t>
      </w:r>
      <w:r>
        <w:rPr>
          <w:rFonts w:ascii="宋体" w:hAnsi="宋体" w:cs="宋体"/>
        </w:rPr>
      </w:r>
      <w:r/>
    </w:p>
    <w:p>
      <w:pPr>
        <w:pStyle w:val="1011"/>
        <w:ind w:left="37" w:firstLine="419"/>
        <w:spacing w:before="146" w:line="411" w:lineRule="auto"/>
        <w:rPr>
          <w:rFonts w:ascii="宋体" w:hAnsi="宋体" w:cs="宋体"/>
        </w:rPr>
      </w:pPr>
      <w:r>
        <w:rPr>
          <w:rFonts w:ascii="宋体" w:hAnsi="宋体" w:cs="宋体"/>
          <w:spacing w:val="-1"/>
        </w:rPr>
        <w:t xml:space="preserve">针对台风、暴雨等天气影响等特殊情况制定应急处置方案，包括但不限于防溢出措施、传达机制、人员和设备调配、责任分工等，针对应急处置方案，防止渗滤液溢出，渗滤液应急处理现场增加应急处理能</w:t>
      </w:r>
      <w:r>
        <w:rPr>
          <w:rFonts w:ascii="宋体" w:hAnsi="宋体" w:cs="宋体"/>
        </w:rPr>
        <w:t xml:space="preserve">力，并给予书面承诺；上述针对项目实施方</w:t>
      </w:r>
      <w:r>
        <w:rPr>
          <w:rFonts w:ascii="宋体" w:hAnsi="宋体" w:cs="宋体"/>
          <w:spacing w:val="-1"/>
        </w:rPr>
        <w:t xml:space="preserve">案中的故障处理措施及突发事件处理方案等方面考虑全面合理</w:t>
      </w:r>
      <w:r>
        <w:rPr>
          <w:rFonts w:ascii="宋体" w:hAnsi="宋体" w:cs="宋体"/>
        </w:rPr>
        <w:t xml:space="preserve">周到有效的为优得10分；项目实施方案中的故障处理措施及突发事件处理方案等方面较好的为良好得7   </w:t>
      </w:r>
      <w:r>
        <w:rPr>
          <w:rFonts w:ascii="宋体" w:hAnsi="宋体" w:cs="宋体"/>
          <w:spacing w:val="1"/>
        </w:rPr>
        <w:t xml:space="preserve">分；项目实施方案中的故障处理措施及突发</w:t>
      </w:r>
      <w:r>
        <w:rPr>
          <w:rFonts w:ascii="宋体" w:hAnsi="宋体" w:cs="宋体"/>
        </w:rPr>
        <w:t xml:space="preserve">事件处理方案等方面一般的4分；未提供上述内容的不得分。</w:t>
      </w:r>
      <w:r/>
    </w:p>
    <w:p>
      <w:pPr>
        <w:pStyle w:val="1011"/>
        <w:ind w:left="461"/>
        <w:spacing w:before="1" w:line="220" w:lineRule="auto"/>
        <w:rPr>
          <w:rFonts w:ascii="宋体" w:hAnsi="宋体" w:cs="宋体"/>
        </w:rPr>
      </w:pPr>
      <w:r>
        <w:rPr>
          <w:rFonts w:ascii="宋体" w:hAnsi="宋体" w:cs="宋体"/>
          <w:b/>
          <w:bCs/>
        </w:rPr>
        <w:t xml:space="preserve">6、针对本项目的各项管理制度（7分）</w:t>
      </w:r>
      <w:r>
        <w:rPr>
          <w:rFonts w:ascii="宋体" w:hAnsi="宋体" w:cs="宋体"/>
        </w:rPr>
      </w:r>
      <w:r/>
    </w:p>
    <w:p>
      <w:pPr>
        <w:pStyle w:val="1011"/>
        <w:ind w:left="62" w:right="74" w:firstLine="397"/>
        <w:spacing w:before="218" w:line="411" w:lineRule="auto"/>
        <w:rPr>
          <w:rFonts w:ascii="宋体" w:hAnsi="宋体" w:cs="宋体"/>
        </w:rPr>
      </w:pPr>
      <w:r>
        <w:rPr>
          <w:rFonts w:ascii="宋体" w:hAnsi="宋体" w:cs="宋体"/>
          <w:spacing w:val="-2"/>
        </w:rPr>
        <w:t xml:space="preserve">各项管理规章制度严格、全面，能满足项目需求的得7分，管理规章制度较好为5分，管理规章制度</w:t>
      </w:r>
      <w:r>
        <w:rPr>
          <w:rFonts w:ascii="宋体" w:hAnsi="宋体" w:cs="宋体"/>
          <w:spacing w:val="-3"/>
        </w:rPr>
        <w:t xml:space="preserve">内容一般的得3分，未提供管理制度的不得分。</w:t>
      </w:r>
      <w:r>
        <w:rPr>
          <w:rFonts w:ascii="宋体" w:hAnsi="宋体" w:cs="宋体"/>
        </w:rPr>
      </w:r>
      <w:r/>
    </w:p>
    <w:p>
      <w:pPr>
        <w:pStyle w:val="1011"/>
        <w:ind w:left="464"/>
        <w:spacing w:line="221" w:lineRule="auto"/>
        <w:rPr>
          <w:rFonts w:ascii="宋体" w:hAnsi="宋体" w:cs="宋体"/>
        </w:rPr>
      </w:pPr>
      <w:r>
        <w:rPr>
          <w:rFonts w:ascii="宋体" w:hAnsi="宋体" w:cs="宋体"/>
          <w:b/>
          <w:bCs/>
          <w:spacing w:val="-1"/>
        </w:rPr>
        <w:t xml:space="preserve">7、项目安全保障、环保保障措施及承诺（5分）</w:t>
      </w:r>
      <w:r>
        <w:rPr>
          <w:rFonts w:ascii="宋体" w:hAnsi="宋体" w:cs="宋体"/>
        </w:rPr>
      </w:r>
      <w:r/>
    </w:p>
    <w:p>
      <w:pPr>
        <w:pStyle w:val="1011"/>
        <w:ind w:left="48" w:right="68" w:firstLine="412"/>
        <w:jc w:val="both"/>
        <w:spacing w:before="218" w:line="411" w:lineRule="auto"/>
        <w:rPr>
          <w:rFonts w:ascii="宋体" w:hAnsi="宋体" w:cs="宋体"/>
        </w:rPr>
      </w:pPr>
      <w:r>
        <w:rPr>
          <w:rFonts w:ascii="宋体" w:hAnsi="宋体" w:cs="宋体"/>
          <w:spacing w:val="-1"/>
        </w:rPr>
        <w:t xml:space="preserve">项目实施中的相关安全保障、环保保障实施方案、承诺及措施说明详实具体的为优得</w:t>
      </w:r>
      <w:r>
        <w:rPr>
          <w:rFonts w:ascii="宋体" w:hAnsi="宋体" w:cs="宋体"/>
          <w:spacing w:val="-2"/>
        </w:rPr>
        <w:t xml:space="preserve">5分，项目实施</w:t>
      </w:r>
      <w:r>
        <w:rPr>
          <w:rFonts w:ascii="宋体" w:hAnsi="宋体" w:cs="宋体"/>
          <w:spacing w:val="-1"/>
        </w:rPr>
        <w:t xml:space="preserve">中的相关安全保障、环保保障实施方案、承诺及措施说明较好的为良好得3分</w:t>
      </w:r>
      <w:r>
        <w:rPr>
          <w:rFonts w:ascii="宋体" w:hAnsi="宋体" w:cs="宋体"/>
          <w:spacing w:val="-2"/>
        </w:rPr>
        <w:t xml:space="preserve">，项目实施中的相关安全保</w:t>
      </w:r>
      <w:r>
        <w:rPr>
          <w:rFonts w:ascii="宋体" w:hAnsi="宋体" w:cs="宋体"/>
          <w:spacing w:val="-1"/>
        </w:rPr>
        <w:t xml:space="preserve">障、环保保障实施方案、承诺及措施说明较为一般的得1分，未提供上述</w:t>
      </w:r>
      <w:r>
        <w:rPr>
          <w:rFonts w:ascii="宋体" w:hAnsi="宋体" w:cs="宋体"/>
          <w:spacing w:val="-2"/>
        </w:rPr>
        <w:t xml:space="preserve">内容的不得分。</w:t>
      </w:r>
      <w:r>
        <w:rPr>
          <w:rFonts w:ascii="宋体" w:hAnsi="宋体" w:cs="宋体"/>
        </w:rPr>
      </w:r>
      <w:r/>
    </w:p>
    <w:p>
      <w:pPr>
        <w:pStyle w:val="1011"/>
        <w:ind w:left="465"/>
        <w:spacing w:line="222" w:lineRule="auto"/>
        <w:rPr>
          <w:rFonts w:ascii="宋体" w:hAnsi="宋体" w:cs="宋体"/>
        </w:rPr>
      </w:pPr>
      <w:r>
        <w:rPr>
          <w:rFonts w:ascii="宋体" w:hAnsi="宋体" w:cs="宋体"/>
          <w:b/>
          <w:bCs/>
          <w:spacing w:val="-4"/>
        </w:rPr>
        <w:t xml:space="preserve">（三）其他（30分）</w:t>
      </w:r>
      <w:r>
        <w:rPr>
          <w:rFonts w:ascii="宋体" w:hAnsi="宋体" w:cs="宋体"/>
        </w:rPr>
      </w:r>
      <w:r/>
    </w:p>
    <w:p>
      <w:pPr>
        <w:pStyle w:val="1011"/>
        <w:ind w:left="475"/>
        <w:spacing w:before="215" w:line="221" w:lineRule="auto"/>
        <w:rPr>
          <w:rFonts w:ascii="宋体" w:hAnsi="宋体" w:cs="宋体"/>
        </w:rPr>
      </w:pPr>
      <w:r>
        <w:rPr>
          <w:rFonts w:ascii="宋体" w:hAnsi="宋体" w:cs="宋体"/>
          <w:b/>
          <w:bCs/>
          <w:spacing w:val="-4"/>
        </w:rPr>
        <w:t xml:space="preserve">1、针对本项目的人员配备情况（10分）</w:t>
      </w:r>
      <w:r>
        <w:rPr>
          <w:rFonts w:ascii="宋体" w:hAnsi="宋体" w:cs="宋体"/>
        </w:rPr>
      </w:r>
      <w:r/>
    </w:p>
    <w:p>
      <w:pPr>
        <w:pStyle w:val="1011"/>
        <w:ind w:left="36" w:right="69" w:firstLine="427"/>
        <w:spacing w:before="217" w:line="348" w:lineRule="auto"/>
        <w:rPr>
          <w:rFonts w:ascii="宋体" w:hAnsi="宋体" w:cs="宋体"/>
        </w:rPr>
      </w:pPr>
      <w:r>
        <w:rPr>
          <w:rFonts w:ascii="宋体" w:hAnsi="宋体" w:cs="宋体"/>
          <w:spacing w:val="-1"/>
        </w:rPr>
        <w:t xml:space="preserve">（1）针对本项目配备的项目负责人</w:t>
      </w:r>
      <w:r>
        <w:rPr>
          <w:rFonts w:hint="eastAsia" w:ascii="宋体" w:hAnsi="宋体" w:cs="宋体"/>
          <w:spacing w:val="-1"/>
        </w:rPr>
        <w:t xml:space="preserve">具有环保类相关专业研究员级高级工程师职称的得3分，高级工</w:t>
      </w:r>
      <w:r>
        <w:rPr>
          <w:rFonts w:hint="eastAsia" w:ascii="宋体" w:hAnsi="宋体" w:cs="宋体"/>
        </w:rPr>
        <w:t xml:space="preserve">程师职称的得2分，中级工程师职称的得1</w:t>
      </w:r>
      <w:r>
        <w:rPr>
          <w:rFonts w:hint="eastAsia" w:ascii="宋体" w:hAnsi="宋体" w:cs="宋体"/>
          <w:spacing w:val="-1"/>
        </w:rPr>
        <w:t xml:space="preserve">分,</w:t>
      </w:r>
      <w:r>
        <w:rPr>
          <w:rFonts w:ascii="宋体" w:hAnsi="宋体" w:cs="宋体"/>
          <w:spacing w:val="-1"/>
        </w:rPr>
        <w:t xml:space="preserve">本项最高得</w:t>
      </w:r>
      <w:r>
        <w:rPr>
          <w:rFonts w:hint="eastAsia" w:ascii="宋体" w:hAnsi="宋体" w:cs="宋体"/>
          <w:spacing w:val="-1"/>
        </w:rPr>
        <w:t xml:space="preserve">3</w:t>
      </w:r>
      <w:r>
        <w:rPr>
          <w:rFonts w:ascii="宋体" w:hAnsi="宋体" w:cs="宋体"/>
          <w:spacing w:val="-1"/>
        </w:rPr>
        <w:t xml:space="preserve">分。（须提供相关证书原件扫描件及</w:t>
      </w:r>
      <w:bookmarkStart w:id="113" w:name="OLE_LINK26"/>
      <w:r>
        <w:rPr>
          <w:rFonts w:ascii="宋体" w:hAnsi="宋体" w:cs="宋体"/>
          <w:spacing w:val="-1"/>
        </w:rPr>
        <w:t xml:space="preserve">投标单位为其缴纳的近</w:t>
      </w:r>
      <w:r>
        <w:rPr>
          <w:rFonts w:ascii="宋体" w:hAnsi="宋体" w:cs="宋体"/>
          <w:spacing w:val="-1"/>
          <w:highlight w:val="white"/>
        </w:rPr>
        <w:t xml:space="preserve">六</w:t>
      </w:r>
      <w:r>
        <w:rPr>
          <w:rFonts w:ascii="宋体" w:hAnsi="宋体" w:cs="宋体"/>
          <w:spacing w:val="-1"/>
        </w:rPr>
        <w:t xml:space="preserve">个月社保证明</w:t>
      </w:r>
      <w:bookmarkEnd w:id="113"/>
      <w:r>
        <w:rPr>
          <w:rFonts w:ascii="宋体" w:hAnsi="宋体" w:cs="宋体"/>
          <w:spacing w:val="-1"/>
        </w:rPr>
        <w:t xml:space="preserve">，否则不得分）</w:t>
      </w:r>
      <w:r>
        <w:rPr>
          <w:rFonts w:ascii="宋体" w:hAnsi="宋体" w:cs="宋体"/>
        </w:rPr>
      </w:r>
      <w:r/>
    </w:p>
    <w:p>
      <w:pPr>
        <w:pStyle w:val="1011"/>
        <w:ind w:left="38" w:right="153" w:firstLine="425"/>
        <w:spacing w:before="217" w:line="316" w:lineRule="auto"/>
        <w:rPr>
          <w:rFonts w:ascii="宋体" w:hAnsi="宋体" w:cs="宋体"/>
          <w:highlight w:val="white"/>
        </w:rPr>
      </w:pPr>
      <w:r>
        <w:rPr>
          <w:rFonts w:ascii="宋体" w:hAnsi="宋体" w:cs="宋体"/>
          <w:spacing w:val="-1"/>
        </w:rPr>
        <w:t xml:space="preserve">（2）针对本项目配备的技术负责人具有环境工程相关专业中级及以上职称证书的得</w:t>
      </w:r>
      <w:r>
        <w:rPr>
          <w:rFonts w:hint="eastAsia" w:ascii="宋体" w:hAnsi="宋体" w:cs="宋体"/>
          <w:spacing w:val="-1"/>
        </w:rPr>
        <w:t xml:space="preserve">2</w:t>
      </w:r>
      <w:r>
        <w:rPr>
          <w:rFonts w:ascii="宋体" w:hAnsi="宋体" w:cs="宋体"/>
          <w:spacing w:val="-1"/>
        </w:rPr>
        <w:t xml:space="preserve">分，本项最高得</w:t>
      </w:r>
      <w:r>
        <w:rPr>
          <w:rFonts w:hint="eastAsia" w:ascii="宋体" w:hAnsi="宋体" w:cs="宋体"/>
          <w:spacing w:val="-1"/>
        </w:rPr>
        <w:t xml:space="preserve">2</w:t>
      </w:r>
      <w:r>
        <w:rPr>
          <w:rFonts w:ascii="宋体" w:hAnsi="宋体" w:cs="宋体"/>
          <w:spacing w:val="-1"/>
        </w:rPr>
        <w:t xml:space="preserve">分。（须提供相关证书原件扫描件及投标单位为其缴纳的</w:t>
      </w:r>
      <w:r>
        <w:rPr>
          <w:rFonts w:ascii="宋体" w:hAnsi="宋体" w:cs="宋体"/>
          <w:spacing w:val="-1"/>
          <w:highlight w:val="white"/>
        </w:rPr>
        <w:t xml:space="preserve">近</w:t>
      </w:r>
      <w:r>
        <w:rPr>
          <w:rFonts w:ascii="宋体" w:hAnsi="宋体" w:cs="宋体"/>
          <w:spacing w:val="-1"/>
          <w:highlight w:val="white"/>
        </w:rPr>
        <w:t xml:space="preserve">六</w:t>
      </w:r>
      <w:r>
        <w:rPr>
          <w:rFonts w:ascii="宋体" w:hAnsi="宋体" w:cs="宋体"/>
          <w:spacing w:val="-1"/>
          <w:highlight w:val="white"/>
        </w:rPr>
        <w:t xml:space="preserve">个月社保证明，否则不得分）</w:t>
      </w:r>
      <w:r>
        <w:rPr>
          <w:rFonts w:ascii="宋体" w:hAnsi="宋体" w:cs="宋体"/>
          <w:highlight w:val="white"/>
        </w:rPr>
      </w:r>
      <w:r>
        <w:rPr>
          <w:highlight w:val="white"/>
        </w:rPr>
      </w:r>
    </w:p>
    <w:p>
      <w:pPr>
        <w:pStyle w:val="1011"/>
        <w:ind w:firstLine="505"/>
        <w:spacing w:before="216" w:line="221" w:lineRule="auto"/>
        <w:rPr>
          <w:rFonts w:ascii="宋体" w:hAnsi="宋体" w:cs="宋体"/>
          <w:spacing w:val="-1"/>
          <w:highlight w:val="white"/>
        </w:rPr>
      </w:pPr>
      <w:r>
        <w:rPr>
          <w:rFonts w:ascii="宋体" w:hAnsi="宋体" w:cs="宋体"/>
          <w:spacing w:val="-4"/>
          <w:highlight w:val="white"/>
        </w:rPr>
        <w:t xml:space="preserve">（3）针对本项目配备的运营管理人员具有污废水处理工证书的</w:t>
      </w:r>
      <w:r>
        <w:rPr>
          <w:rFonts w:ascii="宋体" w:hAnsi="宋体" w:cs="宋体"/>
          <w:spacing w:val="-5"/>
          <w:highlight w:val="white"/>
        </w:rPr>
        <w:t xml:space="preserve">，</w:t>
      </w:r>
      <w:bookmarkStart w:id="114" w:name="OLE_LINK114"/>
      <w:r>
        <w:rPr>
          <w:rFonts w:ascii="宋体" w:hAnsi="宋体" w:cs="宋体"/>
          <w:spacing w:val="-5"/>
          <w:highlight w:val="white"/>
        </w:rPr>
        <w:t xml:space="preserve">每有一个得1分</w:t>
      </w:r>
      <w:bookmarkEnd w:id="114"/>
      <w:r>
        <w:rPr>
          <w:rFonts w:ascii="宋体" w:hAnsi="宋体" w:cs="宋体"/>
          <w:spacing w:val="-5"/>
          <w:highlight w:val="white"/>
        </w:rPr>
        <w:t xml:space="preserve">，本项最高得</w:t>
      </w:r>
      <w:r>
        <w:rPr>
          <w:rFonts w:hint="eastAsia" w:ascii="宋体" w:hAnsi="宋体" w:cs="宋体"/>
          <w:spacing w:val="-5"/>
          <w:highlight w:val="white"/>
        </w:rPr>
        <w:t xml:space="preserve">3</w:t>
      </w:r>
      <w:r>
        <w:rPr>
          <w:rFonts w:ascii="宋体" w:hAnsi="宋体" w:cs="宋体"/>
          <w:spacing w:val="-5"/>
          <w:highlight w:val="white"/>
        </w:rPr>
        <w:t xml:space="preserve">分。</w:t>
      </w:r>
      <w:r>
        <w:rPr>
          <w:rFonts w:ascii="宋体" w:hAnsi="宋体" w:cs="宋体"/>
          <w:highlight w:val="white"/>
        </w:rPr>
        <w:t xml:space="preserve">（须提供相关证书原件扫描件及投标单位为其缴纳</w:t>
      </w:r>
      <w:r>
        <w:rPr>
          <w:rFonts w:ascii="宋体" w:hAnsi="宋体" w:cs="宋体"/>
          <w:spacing w:val="-1"/>
          <w:highlight w:val="white"/>
        </w:rPr>
        <w:t xml:space="preserve">的近</w:t>
      </w:r>
      <w:r>
        <w:rPr>
          <w:rFonts w:ascii="宋体" w:hAnsi="宋体" w:cs="宋体"/>
          <w:spacing w:val="-1"/>
          <w:highlight w:val="white"/>
        </w:rPr>
        <w:t xml:space="preserve">六</w:t>
      </w:r>
      <w:r>
        <w:rPr>
          <w:rFonts w:ascii="宋体" w:hAnsi="宋体" w:cs="宋体"/>
          <w:spacing w:val="-1"/>
          <w:highlight w:val="white"/>
        </w:rPr>
        <w:t xml:space="preserve">个月社保证明，否则不得分）</w:t>
      </w:r>
      <w:r>
        <w:rPr>
          <w:highlight w:val="white"/>
        </w:rPr>
      </w:r>
    </w:p>
    <w:p>
      <w:pPr>
        <w:pStyle w:val="1011"/>
        <w:ind w:firstLine="520"/>
        <w:spacing w:before="216" w:line="221" w:lineRule="auto"/>
        <w:rPr>
          <w:rFonts w:ascii="宋体" w:hAnsi="宋体" w:cs="宋体"/>
          <w:highlight w:val="white"/>
        </w:rPr>
      </w:pPr>
      <w:r>
        <w:rPr>
          <w:rFonts w:hint="eastAsia" w:ascii="宋体" w:hAnsi="宋体" w:cs="宋体"/>
          <w:spacing w:val="-1"/>
          <w:highlight w:val="white"/>
        </w:rPr>
        <w:t xml:space="preserve">（4）</w:t>
      </w:r>
      <w:r>
        <w:rPr>
          <w:rFonts w:ascii="宋体" w:hAnsi="宋体" w:cs="宋体"/>
          <w:spacing w:val="-5"/>
          <w:highlight w:val="white"/>
        </w:rPr>
        <w:t xml:space="preserve">运营人员具备有限空间作业证的，</w:t>
      </w:r>
      <w:r>
        <w:rPr>
          <w:rFonts w:hint="eastAsia" w:ascii="宋体" w:hAnsi="宋体" w:cs="宋体"/>
          <w:spacing w:val="-5"/>
          <w:highlight w:val="white"/>
        </w:rPr>
        <w:t xml:space="preserve">每有一个得1分，</w:t>
      </w:r>
      <w:r>
        <w:rPr>
          <w:rFonts w:ascii="宋体" w:hAnsi="宋体" w:cs="宋体"/>
          <w:spacing w:val="-5"/>
          <w:highlight w:val="white"/>
        </w:rPr>
        <w:t xml:space="preserve">本项最高得</w:t>
      </w:r>
      <w:r>
        <w:rPr>
          <w:rFonts w:hint="eastAsia" w:ascii="宋体" w:hAnsi="宋体" w:cs="宋体"/>
          <w:spacing w:val="-5"/>
          <w:highlight w:val="white"/>
        </w:rPr>
        <w:t xml:space="preserve">2</w:t>
      </w:r>
      <w:r>
        <w:rPr>
          <w:rFonts w:ascii="宋体" w:hAnsi="宋体" w:cs="宋体"/>
          <w:spacing w:val="-5"/>
          <w:highlight w:val="white"/>
        </w:rPr>
        <w:t xml:space="preserve">分。</w:t>
      </w:r>
      <w:r>
        <w:rPr>
          <w:rFonts w:ascii="宋体" w:hAnsi="宋体" w:cs="宋体"/>
          <w:highlight w:val="white"/>
        </w:rPr>
        <w:t xml:space="preserve">（须提供相关证书原件扫描件及投标单位为其缴纳</w:t>
      </w:r>
      <w:r>
        <w:rPr>
          <w:rFonts w:ascii="宋体" w:hAnsi="宋体" w:cs="宋体"/>
          <w:spacing w:val="-1"/>
          <w:highlight w:val="white"/>
        </w:rPr>
        <w:t xml:space="preserve">的近</w:t>
      </w:r>
      <w:r>
        <w:rPr>
          <w:rFonts w:ascii="宋体" w:hAnsi="宋体" w:cs="宋体"/>
          <w:spacing w:val="-1"/>
          <w:highlight w:val="white"/>
        </w:rPr>
        <w:t xml:space="preserve">六</w:t>
      </w:r>
      <w:r>
        <w:rPr>
          <w:rFonts w:ascii="宋体" w:hAnsi="宋体" w:cs="宋体"/>
          <w:spacing w:val="-1"/>
          <w:highlight w:val="white"/>
        </w:rPr>
        <w:t xml:space="preserve">个月社保证明，否则不得分）</w:t>
      </w:r>
      <w:r>
        <w:rPr>
          <w:rFonts w:ascii="宋体" w:hAnsi="宋体" w:cs="宋体"/>
          <w:highlight w:val="white"/>
        </w:rPr>
      </w:r>
      <w:r>
        <w:rPr>
          <w:highlight w:val="white"/>
        </w:rPr>
      </w:r>
    </w:p>
    <w:p>
      <w:pPr>
        <w:pStyle w:val="1011"/>
        <w:ind w:left="461"/>
        <w:spacing w:before="217" w:line="221" w:lineRule="auto"/>
        <w:rPr>
          <w:rFonts w:ascii="宋体" w:hAnsi="宋体" w:cs="宋体"/>
        </w:rPr>
      </w:pPr>
      <w:r>
        <w:rPr>
          <w:rFonts w:ascii="宋体" w:hAnsi="宋体" w:cs="宋体"/>
          <w:b/>
          <w:bCs/>
          <w:spacing w:val="-3"/>
        </w:rPr>
        <w:t xml:space="preserve">2、投标单位的综合实力（20分）</w:t>
      </w:r>
      <w:r>
        <w:rPr>
          <w:rFonts w:ascii="宋体" w:hAnsi="宋体" w:cs="宋体"/>
        </w:rPr>
      </w:r>
      <w:r/>
    </w:p>
    <w:p>
      <w:pPr>
        <w:pStyle w:val="1011"/>
        <w:ind w:left="39" w:right="107" w:firstLine="423"/>
        <w:spacing w:before="216" w:line="316" w:lineRule="auto"/>
        <w:rPr>
          <w:rFonts w:ascii="宋体" w:hAnsi="宋体" w:cs="宋体"/>
        </w:rPr>
      </w:pPr>
      <w:r>
        <w:rPr>
          <w:rFonts w:ascii="宋体" w:hAnsi="宋体" w:cs="宋体"/>
          <w:spacing w:val="-1"/>
        </w:rPr>
        <w:t xml:space="preserve">（1）投标单位具有环保工程专业承包一级资质证书的得6分，二级的得4分，三</w:t>
      </w:r>
      <w:r>
        <w:rPr>
          <w:rFonts w:ascii="宋体" w:hAnsi="宋体" w:cs="宋体"/>
          <w:spacing w:val="-2"/>
        </w:rPr>
        <w:t xml:space="preserve">级的得</w:t>
      </w:r>
      <w:r>
        <w:rPr>
          <w:rFonts w:ascii="Times New Roman" w:hAnsi="Times New Roman" w:eastAsia="Times New Roman" w:cs="Times New Roman"/>
          <w:spacing w:val="-2"/>
        </w:rPr>
        <w:t xml:space="preserve">2 </w:t>
      </w:r>
      <w:r>
        <w:rPr>
          <w:rFonts w:ascii="宋体" w:hAnsi="宋体" w:cs="宋体"/>
          <w:spacing w:val="-2"/>
        </w:rPr>
        <w:t xml:space="preserve">分，本项</w:t>
      </w:r>
      <w:r>
        <w:rPr>
          <w:rFonts w:ascii="宋体" w:hAnsi="宋体" w:cs="宋体"/>
          <w:spacing w:val="-1"/>
        </w:rPr>
        <w:t xml:space="preserve">最高得6分。（须提供有效资质证书原件扫描件，否则不得分）</w:t>
      </w:r>
      <w:r>
        <w:rPr>
          <w:rFonts w:ascii="宋体" w:hAnsi="宋体" w:cs="宋体"/>
        </w:rPr>
      </w:r>
      <w:r/>
    </w:p>
    <w:p>
      <w:pPr>
        <w:pStyle w:val="1011"/>
        <w:ind w:left="36" w:right="23" w:firstLine="427"/>
        <w:spacing w:before="215" w:line="364" w:lineRule="auto"/>
        <w:rPr>
          <w:rFonts w:ascii="宋体" w:hAnsi="宋体" w:cs="宋体"/>
        </w:rPr>
      </w:pPr>
      <w:r>
        <w:rPr>
          <w:rFonts w:ascii="宋体" w:hAnsi="宋体" w:cs="宋体"/>
          <w:spacing w:val="2"/>
        </w:rPr>
        <w:t xml:space="preserve">（2）投标单位具有有效期内的质量管理体系认证证书、环境管</w:t>
      </w:r>
      <w:r>
        <w:rPr>
          <w:rFonts w:ascii="宋体" w:hAnsi="宋体" w:cs="宋体"/>
          <w:spacing w:val="1"/>
        </w:rPr>
        <w:t xml:space="preserve">理体系认证证书、职业健康安全管理</w:t>
      </w:r>
      <w:r>
        <w:rPr>
          <w:rFonts w:ascii="宋体" w:hAnsi="宋体" w:cs="宋体"/>
          <w:spacing w:val="-2"/>
        </w:rPr>
        <w:t xml:space="preserve">体系认证证书的，每提供1个得2分，本项最高得6分。（须提供相关认证证书原件扫描件，并提供</w:t>
      </w:r>
      <w:r>
        <w:rPr>
          <w:rFonts w:ascii="宋体" w:hAnsi="宋体" w:cs="宋体"/>
          <w:spacing w:val="-3"/>
        </w:rPr>
        <w:t xml:space="preserve">证书</w:t>
      </w:r>
      <w:r>
        <w:rPr>
          <w:rFonts w:ascii="宋体" w:hAnsi="宋体" w:cs="宋体"/>
          <w:spacing w:val="2"/>
        </w:rPr>
        <w:t xml:space="preserve">在全国认证认可信息公共服务平台（</w:t>
      </w:r>
      <w:r>
        <w:fldChar w:fldCharType="begin"/>
      </w:r>
      <w:r>
        <w:instrText xml:space="preserve"> HYPERLINK "http://cx.cnca.cn" </w:instrText>
      </w:r>
      <w:r>
        <w:fldChar w:fldCharType="separate"/>
      </w:r>
      <w:r>
        <w:rPr>
          <w:rFonts w:ascii="宋体" w:hAnsi="宋体" w:cs="宋体"/>
        </w:rPr>
        <w:t xml:space="preserve">http</w:t>
      </w:r>
      <w:r>
        <w:rPr>
          <w:rFonts w:ascii="宋体" w:hAnsi="宋体" w:cs="宋体"/>
          <w:spacing w:val="2"/>
        </w:rPr>
        <w:t xml:space="preserve">://</w:t>
      </w:r>
      <w:r>
        <w:rPr>
          <w:rFonts w:ascii="宋体" w:hAnsi="宋体" w:cs="宋体"/>
        </w:rPr>
        <w:t xml:space="preserve">cx</w:t>
      </w:r>
      <w:r>
        <w:rPr>
          <w:rFonts w:ascii="宋体" w:hAnsi="宋体" w:cs="宋体"/>
          <w:spacing w:val="2"/>
        </w:rPr>
        <w:t xml:space="preserve">.</w:t>
      </w:r>
      <w:r>
        <w:rPr>
          <w:rFonts w:ascii="宋体" w:hAnsi="宋体" w:cs="宋体"/>
        </w:rPr>
        <w:t xml:space="preserve">cnca</w:t>
      </w:r>
      <w:r>
        <w:rPr>
          <w:rFonts w:ascii="宋体" w:hAnsi="宋体" w:cs="宋体"/>
          <w:spacing w:val="2"/>
        </w:rPr>
        <w:t xml:space="preserve">.</w:t>
      </w:r>
      <w:r>
        <w:rPr>
          <w:rFonts w:ascii="宋体" w:hAnsi="宋体" w:cs="宋体"/>
        </w:rPr>
        <w:t xml:space="preserve">cn</w:t>
      </w:r>
      <w:r>
        <w:rPr>
          <w:rFonts w:ascii="宋体" w:hAnsi="宋体" w:cs="宋体"/>
        </w:rPr>
        <w:fldChar w:fldCharType="end"/>
      </w:r>
      <w:r>
        <w:rPr>
          <w:rFonts w:ascii="宋体" w:hAnsi="宋体" w:cs="宋体"/>
          <w:spacing w:val="2"/>
        </w:rPr>
        <w:t xml:space="preserve">）网站查询为有效</w:t>
      </w:r>
      <w:r>
        <w:rPr>
          <w:rFonts w:ascii="宋体" w:hAnsi="宋体" w:cs="宋体"/>
          <w:spacing w:val="1"/>
        </w:rPr>
        <w:t xml:space="preserve">状态的查询结果网页或截图，</w:t>
      </w:r>
      <w:r>
        <w:rPr>
          <w:rFonts w:ascii="宋体" w:hAnsi="宋体" w:cs="宋体"/>
          <w:spacing w:val="-1"/>
        </w:rPr>
        <w:t xml:space="preserve">未提供上述证明文件或核查无效的不得分。）</w:t>
      </w:r>
      <w:r>
        <w:rPr>
          <w:rFonts w:ascii="宋体" w:hAnsi="宋体" w:cs="宋体"/>
        </w:rPr>
      </w:r>
      <w:r/>
    </w:p>
    <w:p>
      <w:pPr>
        <w:pStyle w:val="1011"/>
        <w:ind w:left="43" w:right="107" w:firstLine="419"/>
        <w:spacing w:before="217" w:line="316" w:lineRule="auto"/>
        <w:rPr>
          <w:rFonts w:ascii="宋体" w:hAnsi="宋体" w:cs="宋体"/>
        </w:rPr>
      </w:pPr>
      <w:r>
        <w:rPr>
          <w:rFonts w:ascii="宋体" w:hAnsi="宋体" w:cs="宋体"/>
          <w:spacing w:val="-1"/>
        </w:rPr>
        <w:t xml:space="preserve">（3）投标单位具有渗滤液或污水处理相关专利的，每提供一项发明专利得2分，每提供一项实用新</w:t>
      </w:r>
      <w:r>
        <w:rPr>
          <w:rFonts w:ascii="宋体" w:hAnsi="宋体" w:cs="宋体"/>
          <w:spacing w:val="-2"/>
        </w:rPr>
        <w:t xml:space="preserve">型专利得1分，本项最高得4分。（须提供有效专利证明的原件扫描件，否则不得分）</w:t>
      </w:r>
      <w:r>
        <w:rPr>
          <w:rFonts w:ascii="宋体" w:hAnsi="宋体" w:cs="宋体"/>
        </w:rPr>
      </w:r>
      <w:r/>
    </w:p>
    <w:p>
      <w:pPr>
        <w:pStyle w:val="1011"/>
        <w:ind w:left="36" w:right="23" w:firstLine="427"/>
        <w:spacing w:before="217" w:line="348" w:lineRule="auto"/>
        <w:rPr>
          <w:rFonts w:ascii="宋体" w:hAnsi="宋体" w:cs="宋体"/>
        </w:rPr>
      </w:pPr>
      <w:r>
        <w:rPr>
          <w:rFonts w:ascii="宋体" w:hAnsi="宋体" w:cs="宋体"/>
          <w:spacing w:val="-5"/>
        </w:rPr>
        <w:t xml:space="preserve">（4）投标单位近</w:t>
      </w:r>
      <w:r>
        <w:rPr>
          <w:rFonts w:hint="eastAsia" w:ascii="宋体" w:hAnsi="宋体" w:cs="宋体"/>
          <w:spacing w:val="-5"/>
        </w:rPr>
        <w:t xml:space="preserve">五</w:t>
      </w:r>
      <w:r>
        <w:rPr>
          <w:rFonts w:ascii="宋体" w:hAnsi="宋体" w:cs="宋体"/>
          <w:spacing w:val="-5"/>
        </w:rPr>
        <w:t xml:space="preserve">年（20</w:t>
      </w:r>
      <w:r>
        <w:rPr>
          <w:rFonts w:hint="eastAsia" w:ascii="宋体" w:hAnsi="宋体" w:cs="宋体"/>
          <w:spacing w:val="-5"/>
        </w:rPr>
        <w:t xml:space="preserve">20</w:t>
      </w:r>
      <w:r>
        <w:rPr>
          <w:rFonts w:ascii="宋体" w:hAnsi="宋体" w:cs="宋体"/>
          <w:spacing w:val="-5"/>
        </w:rPr>
        <w:t xml:space="preserve">年12月1 日（含）以来）承担</w:t>
      </w:r>
      <w:r>
        <w:rPr>
          <w:rFonts w:ascii="宋体" w:hAnsi="宋体" w:cs="宋体"/>
          <w:spacing w:val="-6"/>
        </w:rPr>
        <w:t xml:space="preserve">过类似渗滤液处理服务业绩的，每有一个</w:t>
      </w:r>
      <w:r>
        <w:rPr>
          <w:rFonts w:ascii="宋体" w:hAnsi="宋体" w:cs="宋体"/>
          <w:spacing w:val="-1"/>
        </w:rPr>
        <w:t xml:space="preserve">得</w:t>
      </w:r>
      <w:r>
        <w:rPr>
          <w:rFonts w:hint="eastAsia" w:ascii="宋体" w:hAnsi="宋体" w:cs="宋体"/>
          <w:spacing w:val="-1"/>
        </w:rPr>
        <w:t xml:space="preserve">1</w:t>
      </w:r>
      <w:r>
        <w:rPr>
          <w:rFonts w:ascii="宋体" w:hAnsi="宋体" w:cs="宋体"/>
          <w:spacing w:val="-1"/>
        </w:rPr>
        <w:t xml:space="preserve">分，本项最高得4分。（须提供有效合同原件扫描件，时间</w:t>
      </w:r>
      <w:r>
        <w:rPr>
          <w:rFonts w:ascii="宋体" w:hAnsi="宋体" w:cs="宋体"/>
          <w:spacing w:val="-2"/>
        </w:rPr>
        <w:t xml:space="preserve">以合同签订时间为准，合同应能反应上述业绩信息，否则不得分）</w:t>
      </w:r>
      <w:r>
        <w:rPr>
          <w:rFonts w:ascii="宋体" w:hAnsi="宋体" w:cs="宋体"/>
        </w:rPr>
      </w:r>
      <w:r/>
    </w:p>
    <w:p>
      <w:pPr>
        <w:pStyle w:val="1182"/>
        <w:spacing w:line="306" w:lineRule="auto"/>
      </w:pPr>
      <w:r/>
      <w:r/>
    </w:p>
    <w:p>
      <w:pPr>
        <w:pStyle w:val="1182"/>
        <w:spacing w:line="306" w:lineRule="auto"/>
      </w:pPr>
      <w:r/>
      <w:bookmarkStart w:id="115" w:name="_GoBack"/>
      <w:r/>
      <w:bookmarkEnd w:id="115"/>
      <w:r/>
      <w:r/>
    </w:p>
    <w:p>
      <w:pPr>
        <w:pStyle w:val="1011"/>
        <w:ind w:right="36"/>
        <w:jc w:val="right"/>
        <w:spacing w:before="68" w:line="221" w:lineRule="auto"/>
        <w:rPr>
          <w:rFonts w:ascii="宋体" w:hAnsi="宋体" w:cs="宋体"/>
          <w:b/>
          <w:bCs/>
          <w:spacing w:val="-6"/>
        </w:rPr>
      </w:pPr>
      <w:r>
        <w:rPr>
          <w:rFonts w:ascii="宋体" w:hAnsi="宋体" w:cs="宋体"/>
          <w:b/>
          <w:bCs/>
          <w:spacing w:val="-6"/>
        </w:rPr>
        <w:t xml:space="preserve">（全文完）</w:t>
      </w:r>
      <w:r/>
    </w:p>
    <w:sectPr>
      <w:headerReference w:type="default" r:id="rId26"/>
      <w:footnotePr/>
      <w:endnotePr/>
      <w:type w:val="nextPage"/>
      <w:pgSz w:w="11907" w:h="16839" w:orient="portrait"/>
      <w:pgMar w:top="921" w:right="1106" w:bottom="676" w:left="1104" w:header="601" w:footer="511" w:gutter="0"/>
      <w:pgNumType w:start="6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w:panose1 w:val="05000000000000000000"/>
  </w:font>
  <w:font w:name="Courier New">
    <w:panose1 w:val="02070309020205020404"/>
  </w:font>
  <w:font w:name="Cambria">
    <w:panose1 w:val="02040503050406030204"/>
  </w:font>
  <w:font w:name="Calibri">
    <w:panose1 w:val="020F0502020204030204"/>
  </w:font>
  <w:font w:name="KaiTi_GB2312">
    <w:panose1 w:val="02010609060101010101"/>
  </w:font>
  <w:font w:name="Times New Roman">
    <w:panose1 w:val="02020603050405020304"/>
  </w:font>
  <w:font w:name="SimSun">
    <w:panose1 w:val="02010600030101010101"/>
  </w:font>
  <w:font w:name="宋体">
    <w:panose1 w:val="0201060003010101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pPr>
    <w:r>
      <w:fldChar w:fldCharType="begin"/>
    </w:r>
    <w:r>
      <w:instrText xml:space="preserve"> PAGE   \* MERGEFORMAT </w:instrText>
    </w:r>
    <w:r>
      <w:fldChar w:fldCharType="separate"/>
    </w:r>
    <w:r>
      <w:rPr>
        <w:lang w:val="zh-CN"/>
      </w:rPr>
      <w:t xml:space="preserve">38</w:t>
    </w:r>
    <w:r>
      <w:rPr>
        <w:lang w:val="zh-CN"/>
      </w:rPr>
      <w:fldChar w:fldCharType="end"/>
    </w:r>
    <w:r/>
  </w:p>
  <w:p>
    <w:pPr>
      <w:pStyle w:val="1011"/>
      <w:ind w:left="4906"/>
      <w:spacing w:line="8" w:lineRule="exac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pPr>
    <w:r>
      <w:fldChar w:fldCharType="begin"/>
    </w:r>
    <w:r>
      <w:instrText xml:space="preserve"> PAGE   \* MERGEFORMAT </w:instrText>
    </w:r>
    <w:r>
      <w:fldChar w:fldCharType="separate"/>
    </w:r>
    <w:r>
      <w:rPr>
        <w:lang w:val="zh-CN"/>
      </w:rPr>
      <w:t xml:space="preserve">44</w:t>
    </w:r>
    <w:r>
      <w:rPr>
        <w:lang w:val="zh-CN"/>
      </w:rPr>
      <w:fldChar w:fldCharType="end"/>
    </w:r>
    <w:r/>
  </w:p>
  <w:p>
    <w:pPr>
      <w:pStyle w:val="1011"/>
      <w:ind w:left="4906"/>
      <w:spacing w:line="8" w:lineRule="exac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pPr>
    <w:r>
      <w:fldChar w:fldCharType="begin"/>
    </w:r>
    <w:r>
      <w:instrText xml:space="preserve"> PAGE   \* MERGEFORMAT </w:instrText>
    </w:r>
    <w:r>
      <w:fldChar w:fldCharType="separate"/>
    </w:r>
    <w:r>
      <w:rPr>
        <w:lang w:val="zh-CN"/>
      </w:rPr>
      <w:t xml:space="preserve">49</w:t>
    </w:r>
    <w:r>
      <w:rPr>
        <w:lang w:val="zh-CN"/>
      </w:rPr>
      <w:fldChar w:fldCharType="end"/>
    </w:r>
    <w:r/>
  </w:p>
  <w:p>
    <w:pPr>
      <w:pStyle w:val="1011"/>
      <w:ind w:left="4906"/>
      <w:spacing w:line="8" w:lineRule="exac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pPr>
    <w:r>
      <w:fldChar w:fldCharType="begin"/>
    </w:r>
    <w:r>
      <w:instrText xml:space="preserve"> PAGE   \* MERGEFORMAT </w:instrText>
    </w:r>
    <w:r>
      <w:fldChar w:fldCharType="separate"/>
    </w:r>
    <w:r>
      <w:rPr>
        <w:lang w:val="zh-CN"/>
      </w:rPr>
      <w:t xml:space="preserve">51</w:t>
    </w:r>
    <w:r>
      <w:rPr>
        <w:lang w:val="zh-CN"/>
      </w:rPr>
      <w:fldChar w:fldCharType="end"/>
    </w:r>
    <w:r/>
  </w:p>
  <w:p>
    <w:pPr>
      <w:pStyle w:val="1011"/>
      <w:ind w:left="4906"/>
      <w:spacing w:line="8" w:lineRule="exac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pPr>
    <w:r/>
    <w:r>
      <w:instrText xml:space="preserve"> PAGE   </w:instrText>
    </w:r>
    <w:r/>
  </w:p>
  <w:p>
    <w:pPr>
      <w:pStyle w:val="1011"/>
      <w:ind w:left="4906"/>
      <w:spacing w:line="8"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800"/>
      <w:jc w:val="center"/>
      <w:spacing w:before="47" w:line="219" w:lineRule="auto"/>
      <w:rPr>
        <w:rFonts w:ascii="宋体" w:hAnsi="宋体" w:cs="宋体"/>
        <w:sz w:val="18"/>
        <w:szCs w:val="18"/>
      </w:rPr>
      <w:pBdr>
        <w:bottom w:val="single" w:color="000000" w:sz="4" w:space="1"/>
      </w:pBdr>
    </w:pPr>
    <w:r>
      <w:rPr>
        <w:rFonts w:hint="eastAsia"/>
        <w:sz w:val="15"/>
        <w:szCs w:val="15"/>
      </w:rPr>
      <w:t xml:space="preserve">苏州常发工程咨询有限公司</w:t>
    </w:r>
    <w:r>
      <w:rPr>
        <w:rFonts w:ascii="宋体" w:hAnsi="宋体" w:cs="宋体"/>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800"/>
      <w:jc w:val="center"/>
      <w:spacing w:before="47" w:line="219" w:lineRule="auto"/>
      <w:rPr>
        <w:rFonts w:ascii="宋体" w:hAnsi="宋体" w:cs="宋体"/>
        <w:sz w:val="15"/>
        <w:szCs w:val="15"/>
      </w:rPr>
      <w:pBdr>
        <w:bottom w:val="single" w:color="000000" w:sz="4" w:space="1"/>
      </w:pBdr>
    </w:pPr>
    <w:r>
      <w:rPr>
        <w:rFonts w:hint="eastAsia"/>
        <w:sz w:val="15"/>
        <w:szCs w:val="15"/>
      </w:rPr>
      <w:t xml:space="preserve">苏州常发工程咨询有限公司</w:t>
    </w:r>
    <w:r>
      <w:rPr>
        <w:rFonts w:ascii="宋体" w:hAnsi="宋体" w:cs="宋体"/>
        <w:sz w:val="15"/>
        <w:szCs w:val="15"/>
      </w:rPr>
    </w:r>
    <w:r/>
  </w:p>
  <w:p>
    <w:pPr>
      <w:pStyle w:val="1011"/>
      <w:ind w:left="800"/>
      <w:jc w:val="center"/>
      <w:spacing w:before="47" w:line="219" w:lineRule="auto"/>
      <w:rPr>
        <w:rFonts w:ascii="宋体" w:hAnsi="宋体" w:cs="宋体"/>
        <w:sz w:val="15"/>
        <w:szCs w:val="15"/>
      </w:rPr>
    </w:pPr>
    <w:r>
      <w:rPr>
        <w:rFonts w:ascii="宋体" w:hAnsi="宋体" w:cs="宋体"/>
        <w:sz w:val="15"/>
        <w:szCs w:val="15"/>
      </w:rPr>
    </w:r>
    <w:r/>
  </w:p>
  <w:p>
    <w:pPr>
      <w:pStyle w:val="1011"/>
      <w:ind w:left="130"/>
      <w:spacing w:before="47" w:line="219" w:lineRule="auto"/>
      <w:rPr>
        <w:rFonts w:ascii="宋体" w:hAnsi="宋体" w:cs="宋体"/>
        <w:sz w:val="18"/>
        <w:szCs w:val="18"/>
      </w:rPr>
    </w:pPr>
    <w:r>
      <w:rPr>
        <w:rFonts w:ascii="宋体" w:hAnsi="宋体" w:cs="宋体"/>
        <w:sz w:val="18"/>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800"/>
      <w:jc w:val="center"/>
      <w:spacing w:before="47" w:line="219" w:lineRule="auto"/>
      <w:rPr>
        <w:rFonts w:ascii="宋体" w:hAnsi="宋体" w:cs="宋体"/>
        <w:sz w:val="15"/>
        <w:szCs w:val="15"/>
      </w:rPr>
      <w:pBdr>
        <w:bottom w:val="single" w:color="000000" w:sz="4" w:space="1"/>
      </w:pBdr>
    </w:pPr>
    <w:r>
      <w:rPr>
        <w:rFonts w:hint="eastAsia"/>
        <w:sz w:val="15"/>
        <w:szCs w:val="15"/>
      </w:rPr>
      <w:t xml:space="preserve">苏州常发工程咨询有限公司</w:t>
    </w:r>
    <w:r>
      <w:rPr>
        <w:rFonts w:ascii="宋体" w:hAnsi="宋体" w:cs="宋体"/>
        <w:sz w:val="15"/>
        <w:szCs w:val="15"/>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800"/>
      <w:jc w:val="center"/>
      <w:spacing w:before="47" w:line="219" w:lineRule="auto"/>
      <w:rPr>
        <w:rFonts w:ascii="宋体" w:hAnsi="宋体" w:cs="宋体"/>
        <w:sz w:val="18"/>
        <w:szCs w:val="18"/>
      </w:rPr>
      <w:pBdr>
        <w:bottom w:val="single" w:color="000000" w:sz="4" w:space="1"/>
      </w:pBdr>
    </w:pPr>
    <w:r>
      <w:rPr>
        <w:rFonts w:hint="eastAsia"/>
        <w:sz w:val="15"/>
        <w:szCs w:val="15"/>
      </w:rPr>
      <w:t xml:space="preserve">苏州常发工程咨询有限公司</w:t>
    </w:r>
    <w:r>
      <w:rPr>
        <w:rFonts w:ascii="宋体" w:hAnsi="宋体" w:cs="宋体"/>
        <w:sz w:val="18"/>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800"/>
      <w:jc w:val="center"/>
      <w:spacing w:before="47" w:line="219" w:lineRule="auto"/>
      <w:rPr>
        <w:rFonts w:ascii="宋体" w:hAnsi="宋体" w:cs="宋体"/>
        <w:sz w:val="18"/>
        <w:szCs w:val="18"/>
      </w:rPr>
      <w:pBdr>
        <w:bottom w:val="single" w:color="000000" w:sz="4" w:space="1"/>
      </w:pBdr>
    </w:pPr>
    <w:r>
      <w:rPr>
        <w:rFonts w:hint="eastAsia"/>
        <w:sz w:val="15"/>
        <w:szCs w:val="15"/>
      </w:rPr>
      <w:t xml:space="preserve">苏州常发工程咨询有限公司</w:t>
    </w:r>
    <w:r>
      <w:rPr>
        <w:rFonts w:ascii="宋体" w:hAnsi="宋体" w:cs="宋体"/>
        <w:sz w:val="18"/>
        <w:szCs w:val="18"/>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800"/>
      <w:jc w:val="center"/>
      <w:spacing w:before="47" w:line="219" w:lineRule="auto"/>
      <w:rPr>
        <w:rFonts w:ascii="宋体" w:hAnsi="宋体" w:cs="宋体"/>
        <w:sz w:val="18"/>
        <w:szCs w:val="18"/>
      </w:rPr>
      <w:pBdr>
        <w:bottom w:val="single" w:color="000000" w:sz="4" w:space="1"/>
      </w:pBdr>
    </w:pPr>
    <w:r>
      <w:rPr>
        <w:rFonts w:hint="eastAsia"/>
        <w:sz w:val="15"/>
        <w:szCs w:val="15"/>
      </w:rPr>
      <w:t xml:space="preserve">苏州常发工程咨询有限公司</w:t>
    </w:r>
    <w:r>
      <w:rPr>
        <w:rFonts w:ascii="宋体" w:hAnsi="宋体" w:cs="宋体"/>
        <w:sz w:val="18"/>
        <w:szCs w:val="18"/>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800"/>
      <w:jc w:val="center"/>
      <w:spacing w:before="47" w:line="219" w:lineRule="auto"/>
      <w:rPr>
        <w:rFonts w:ascii="宋体" w:hAnsi="宋体" w:cs="宋体"/>
        <w:sz w:val="18"/>
        <w:szCs w:val="18"/>
      </w:rPr>
      <w:pBdr>
        <w:bottom w:val="single" w:color="000000" w:sz="4" w:space="1"/>
      </w:pBdr>
    </w:pPr>
    <w:r>
      <w:rPr>
        <w:rFonts w:hint="eastAsia"/>
        <w:sz w:val="15"/>
        <w:szCs w:val="15"/>
      </w:rPr>
      <w:t xml:space="preserve">苏州常发工程咨询有限公司</w:t>
    </w:r>
    <w:r>
      <w:rPr>
        <w:rFonts w:ascii="宋体" w:hAnsi="宋体" w:cs="宋体"/>
        <w:sz w:val="18"/>
        <w:szCs w:val="18"/>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800"/>
      <w:jc w:val="center"/>
      <w:spacing w:before="47" w:line="219" w:lineRule="auto"/>
      <w:rPr>
        <w:rFonts w:ascii="宋体" w:hAnsi="宋体" w:cs="宋体"/>
        <w:sz w:val="18"/>
        <w:szCs w:val="18"/>
      </w:rPr>
      <w:pBdr>
        <w:bottom w:val="single" w:color="000000" w:sz="4" w:space="1"/>
      </w:pBdr>
    </w:pPr>
    <w:r>
      <w:rPr>
        <w:rFonts w:hint="eastAsia"/>
        <w:sz w:val="15"/>
        <w:szCs w:val="15"/>
      </w:rPr>
      <w:t xml:space="preserve">苏州常发工程咨询有限公司</w:t>
    </w:r>
    <w:r>
      <w:rPr>
        <w:rFonts w:ascii="宋体" w:hAnsi="宋体" w:cs="宋体"/>
        <w:sz w:val="18"/>
        <w:szCs w:val="18"/>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800"/>
      <w:jc w:val="center"/>
      <w:spacing w:before="47" w:line="219" w:lineRule="auto"/>
      <w:rPr>
        <w:rFonts w:ascii="宋体" w:hAnsi="宋体" w:cs="宋体"/>
        <w:sz w:val="18"/>
        <w:szCs w:val="18"/>
      </w:rPr>
      <w:pBdr>
        <w:bottom w:val="single" w:color="000000" w:sz="4" w:space="1"/>
      </w:pBdr>
    </w:pPr>
    <w:r>
      <w:rPr>
        <w:rFonts w:hint="eastAsia"/>
        <w:sz w:val="15"/>
        <w:szCs w:val="15"/>
      </w:rPr>
      <w:t xml:space="preserve">苏州常发工程咨询有限公司</w:t>
    </w:r>
    <w:r>
      <w:rPr>
        <w:rFonts w:ascii="宋体" w:hAnsi="宋体" w:cs="宋体"/>
        <w:sz w:val="18"/>
        <w:szCs w:val="18"/>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800"/>
      <w:jc w:val="center"/>
      <w:spacing w:before="47" w:line="219" w:lineRule="auto"/>
      <w:rPr>
        <w:rFonts w:ascii="宋体" w:hAnsi="宋体" w:cs="宋体"/>
        <w:sz w:val="18"/>
        <w:szCs w:val="18"/>
      </w:rPr>
      <w:pBdr>
        <w:bottom w:val="single" w:color="000000" w:sz="4" w:space="1"/>
      </w:pBdr>
    </w:pPr>
    <w:r>
      <w:rPr>
        <w:rFonts w:hint="eastAsia"/>
        <w:sz w:val="15"/>
        <w:szCs w:val="15"/>
      </w:rPr>
      <w:t xml:space="preserve">苏州常发工程咨询有限公司</w:t>
    </w:r>
    <w:r>
      <w:rPr>
        <w:rFonts w:ascii="宋体" w:hAnsi="宋体" w:cs="宋体"/>
        <w:sz w:val="18"/>
        <w:szCs w:val="18"/>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800"/>
      <w:jc w:val="center"/>
      <w:spacing w:before="47" w:line="219" w:lineRule="auto"/>
      <w:rPr>
        <w:rFonts w:ascii="宋体" w:hAnsi="宋体" w:cs="宋体"/>
        <w:sz w:val="18"/>
        <w:szCs w:val="18"/>
      </w:rPr>
      <w:pBdr>
        <w:bottom w:val="single" w:color="000000" w:sz="4" w:space="1"/>
      </w:pBdr>
    </w:pPr>
    <w:r>
      <w:rPr>
        <w:rFonts w:hint="eastAsia"/>
        <w:sz w:val="15"/>
        <w:szCs w:val="15"/>
      </w:rPr>
      <w:t xml:space="preserve">苏州常发工程咨询有限公司</w:t>
    </w:r>
    <w:r>
      <w:rPr>
        <w:rFonts w:ascii="宋体" w:hAnsi="宋体" w:cs="宋体"/>
        <w:sz w:val="18"/>
        <w:szCs w:val="18"/>
      </w:r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800"/>
      <w:jc w:val="center"/>
      <w:spacing w:before="47" w:line="219" w:lineRule="auto"/>
      <w:rPr>
        <w:rFonts w:ascii="宋体" w:hAnsi="宋体" w:cs="宋体"/>
        <w:sz w:val="18"/>
        <w:szCs w:val="18"/>
      </w:rPr>
      <w:pBdr>
        <w:bottom w:val="single" w:color="000000" w:sz="4" w:space="1"/>
      </w:pBdr>
    </w:pPr>
    <w:r>
      <w:rPr>
        <w:rFonts w:hint="eastAsia"/>
        <w:sz w:val="15"/>
        <w:szCs w:val="15"/>
      </w:rPr>
      <w:t xml:space="preserve">苏州常发工程咨询有限公司</w:t>
    </w:r>
    <w:r>
      <w:rPr>
        <w:rFonts w:ascii="宋体" w:hAnsi="宋体" w:cs="宋体"/>
        <w:sz w:val="18"/>
        <w:szCs w:val="18"/>
      </w:r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800"/>
      <w:jc w:val="center"/>
      <w:spacing w:before="47" w:line="219" w:lineRule="auto"/>
      <w:rPr>
        <w:rFonts w:ascii="宋体" w:hAnsi="宋体" w:cs="宋体"/>
        <w:sz w:val="18"/>
        <w:szCs w:val="18"/>
      </w:rPr>
      <w:pBdr>
        <w:bottom w:val="single" w:color="000000" w:sz="4" w:space="1"/>
      </w:pBdr>
    </w:pPr>
    <w:r>
      <w:rPr>
        <w:rFonts w:hint="eastAsia"/>
        <w:sz w:val="15"/>
        <w:szCs w:val="15"/>
      </w:rPr>
      <w:t xml:space="preserve">苏州常发工程咨询有限公司</w:t>
    </w:r>
    <w:r>
      <w:rPr>
        <w:rFonts w:ascii="宋体" w:hAnsi="宋体" w:cs="宋体"/>
        <w:sz w:val="18"/>
        <w:szCs w:val="18"/>
      </w:r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800"/>
      <w:jc w:val="center"/>
      <w:spacing w:before="47" w:line="219" w:lineRule="auto"/>
      <w:rPr>
        <w:rFonts w:ascii="宋体" w:hAnsi="宋体" w:cs="宋体"/>
        <w:sz w:val="18"/>
        <w:szCs w:val="18"/>
      </w:rPr>
      <w:pBdr>
        <w:bottom w:val="single" w:color="000000" w:sz="4" w:space="1"/>
      </w:pBdr>
    </w:pPr>
    <w:r>
      <w:rPr>
        <w:rFonts w:hint="eastAsia"/>
        <w:sz w:val="15"/>
        <w:szCs w:val="15"/>
      </w:rPr>
      <w:t xml:space="preserve">苏州常发工程咨询有限公司</w:t>
    </w:r>
    <w:r>
      <w:rPr>
        <w:rFonts w:ascii="宋体" w:hAnsi="宋体" w:cs="宋体"/>
        <w:sz w:val="18"/>
        <w:szCs w:val="18"/>
      </w:r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800"/>
      <w:jc w:val="center"/>
      <w:spacing w:before="47" w:line="219" w:lineRule="auto"/>
      <w:rPr>
        <w:rFonts w:ascii="宋体" w:hAnsi="宋体" w:cs="宋体"/>
        <w:sz w:val="18"/>
        <w:szCs w:val="18"/>
      </w:rPr>
      <w:pBdr>
        <w:bottom w:val="single" w:color="000000" w:sz="4" w:space="1"/>
      </w:pBdr>
    </w:pPr>
    <w:r>
      <w:rPr>
        <w:rFonts w:hint="eastAsia"/>
        <w:sz w:val="15"/>
        <w:szCs w:val="15"/>
      </w:rPr>
      <w:t xml:space="preserve">苏州常发工程咨询有限公司</w:t>
    </w:r>
    <w:r>
      <w:rPr>
        <w:rFonts w:ascii="宋体" w:hAnsi="宋体" w:cs="宋体"/>
        <w:sz w:val="18"/>
        <w:szCs w:val="18"/>
      </w:r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800"/>
      <w:jc w:val="center"/>
      <w:spacing w:before="47" w:line="219" w:lineRule="auto"/>
      <w:rPr>
        <w:rFonts w:ascii="宋体" w:hAnsi="宋体" w:cs="宋体"/>
        <w:sz w:val="18"/>
        <w:szCs w:val="18"/>
      </w:rPr>
      <w:pBdr>
        <w:bottom w:val="single" w:color="000000" w:sz="4" w:space="1"/>
      </w:pBdr>
    </w:pPr>
    <w:r>
      <w:rPr>
        <w:rFonts w:hint="eastAsia"/>
        <w:sz w:val="15"/>
        <w:szCs w:val="15"/>
      </w:rPr>
      <w:t xml:space="preserve">苏州常发工程咨询有限公司</w:t>
    </w:r>
    <w:r>
      <w:rPr>
        <w:rFonts w:ascii="宋体" w:hAnsi="宋体" w:cs="宋体"/>
        <w:sz w:val="18"/>
        <w:szCs w:val="18"/>
      </w:rPr>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800"/>
      <w:jc w:val="center"/>
      <w:spacing w:before="47" w:line="219" w:lineRule="auto"/>
      <w:rPr>
        <w:rFonts w:ascii="宋体" w:hAnsi="宋体" w:cs="宋体"/>
        <w:sz w:val="18"/>
        <w:szCs w:val="18"/>
      </w:rPr>
      <w:pBdr>
        <w:bottom w:val="single" w:color="000000" w:sz="4" w:space="1"/>
      </w:pBdr>
    </w:pPr>
    <w:r>
      <w:rPr>
        <w:rFonts w:hint="eastAsia"/>
        <w:sz w:val="15"/>
        <w:szCs w:val="15"/>
      </w:rPr>
      <w:t xml:space="preserve">苏州常发工程咨询有限公司</w:t>
    </w:r>
    <w:r>
      <w:rPr>
        <w:rFonts w:ascii="宋体" w:hAnsi="宋体" w:cs="宋体"/>
        <w:sz w:val="18"/>
        <w:szCs w:val="18"/>
      </w:rPr>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800"/>
      <w:jc w:val="center"/>
      <w:spacing w:before="47" w:line="219" w:lineRule="auto"/>
      <w:rPr>
        <w:szCs w:val="15"/>
      </w:rPr>
      <w:pBdr>
        <w:bottom w:val="single" w:color="000000" w:sz="4" w:space="1"/>
      </w:pBdr>
    </w:pPr>
    <w:r>
      <w:rPr>
        <w:rFonts w:hint="eastAsia"/>
        <w:sz w:val="15"/>
        <w:szCs w:val="15"/>
      </w:rPr>
      <w:t xml:space="preserve">苏州常发工程咨询有限公司</w:t>
    </w:r>
    <w:r>
      <w:rPr>
        <w:szCs w:val="15"/>
      </w:rPr>
    </w:r>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800"/>
      <w:jc w:val="center"/>
      <w:spacing w:before="47" w:line="219" w:lineRule="auto"/>
      <w:rPr>
        <w:rFonts w:ascii="宋体" w:hAnsi="宋体" w:cs="宋体"/>
        <w:sz w:val="15"/>
        <w:szCs w:val="15"/>
      </w:rPr>
      <w:pBdr>
        <w:bottom w:val="single" w:color="000000" w:sz="4" w:space="1"/>
      </w:pBdr>
    </w:pPr>
    <w:r>
      <w:rPr>
        <w:rFonts w:hint="eastAsia"/>
        <w:sz w:val="15"/>
        <w:szCs w:val="15"/>
      </w:rPr>
      <w:t xml:space="preserve">苏州常发工程咨询有限公司</w:t>
    </w:r>
    <w:r>
      <w:rPr>
        <w:rFonts w:ascii="宋体" w:hAnsi="宋体" w:cs="宋体"/>
        <w:sz w:val="15"/>
        <w:szCs w:val="15"/>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1">
    <w:name w:val="List Paragraph"/>
    <w:basedOn w:val="1011"/>
    <w:uiPriority w:val="34"/>
    <w:qFormat/>
    <w:pPr>
      <w:contextualSpacing/>
      <w:ind w:left="720"/>
    </w:pPr>
  </w:style>
  <w:style w:type="paragraph" w:styleId="982">
    <w:name w:val="No Spacing"/>
    <w:uiPriority w:val="1"/>
    <w:qFormat/>
    <w:pPr>
      <w:spacing w:before="0" w:after="0" w:line="240" w:lineRule="auto"/>
    </w:pPr>
  </w:style>
  <w:style w:type="paragraph" w:styleId="983">
    <w:name w:val="Title"/>
    <w:basedOn w:val="1011"/>
    <w:next w:val="1011"/>
    <w:link w:val="984"/>
    <w:uiPriority w:val="10"/>
    <w:qFormat/>
    <w:pPr>
      <w:contextualSpacing/>
      <w:spacing w:before="300" w:after="200"/>
    </w:pPr>
    <w:rPr>
      <w:sz w:val="48"/>
      <w:szCs w:val="48"/>
    </w:rPr>
  </w:style>
  <w:style w:type="character" w:styleId="984">
    <w:name w:val="Title Char"/>
    <w:link w:val="983"/>
    <w:uiPriority w:val="10"/>
    <w:rPr>
      <w:sz w:val="48"/>
      <w:szCs w:val="48"/>
    </w:rPr>
  </w:style>
  <w:style w:type="paragraph" w:styleId="985">
    <w:name w:val="Subtitle"/>
    <w:basedOn w:val="1011"/>
    <w:next w:val="1011"/>
    <w:link w:val="986"/>
    <w:uiPriority w:val="11"/>
    <w:qFormat/>
    <w:pPr>
      <w:spacing w:before="200" w:after="200"/>
    </w:pPr>
    <w:rPr>
      <w:sz w:val="24"/>
      <w:szCs w:val="24"/>
    </w:rPr>
  </w:style>
  <w:style w:type="character" w:styleId="986">
    <w:name w:val="Subtitle Char"/>
    <w:link w:val="985"/>
    <w:uiPriority w:val="11"/>
    <w:rPr>
      <w:sz w:val="24"/>
      <w:szCs w:val="24"/>
    </w:rPr>
  </w:style>
  <w:style w:type="paragraph" w:styleId="987">
    <w:name w:val="Quote"/>
    <w:basedOn w:val="1011"/>
    <w:next w:val="1011"/>
    <w:link w:val="988"/>
    <w:uiPriority w:val="29"/>
    <w:qFormat/>
    <w:pPr>
      <w:ind w:left="720" w:right="720"/>
    </w:pPr>
    <w:rPr>
      <w:i/>
    </w:rPr>
  </w:style>
  <w:style w:type="character" w:styleId="988">
    <w:name w:val="Quote Char"/>
    <w:link w:val="987"/>
    <w:uiPriority w:val="29"/>
    <w:rPr>
      <w:i/>
    </w:rPr>
  </w:style>
  <w:style w:type="paragraph" w:styleId="989">
    <w:name w:val="Intense Quote"/>
    <w:basedOn w:val="1011"/>
    <w:next w:val="1011"/>
    <w:link w:val="9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0">
    <w:name w:val="Intense Quote Char"/>
    <w:link w:val="989"/>
    <w:uiPriority w:val="30"/>
    <w:rPr>
      <w:i/>
    </w:rPr>
  </w:style>
  <w:style w:type="paragraph" w:styleId="991">
    <w:name w:val="Header"/>
    <w:basedOn w:val="1011"/>
    <w:link w:val="1039"/>
    <w:uiPriority w:val="99"/>
    <w:unhideWhenUsed/>
    <w:pPr>
      <w:spacing w:after="0" w:line="240" w:lineRule="auto"/>
      <w:tabs>
        <w:tab w:val="center" w:pos="7143" w:leader="none"/>
        <w:tab w:val="right" w:pos="14287" w:leader="none"/>
      </w:tabs>
    </w:pPr>
  </w:style>
  <w:style w:type="paragraph" w:styleId="992">
    <w:name w:val="Footer"/>
    <w:basedOn w:val="1011"/>
    <w:link w:val="1042"/>
    <w:uiPriority w:val="99"/>
    <w:unhideWhenUsed/>
    <w:pPr>
      <w:spacing w:after="0" w:line="240" w:lineRule="auto"/>
      <w:tabs>
        <w:tab w:val="center" w:pos="7143" w:leader="none"/>
        <w:tab w:val="right" w:pos="14287" w:leader="none"/>
      </w:tabs>
    </w:pPr>
  </w:style>
  <w:style w:type="paragraph" w:styleId="993">
    <w:name w:val="Caption"/>
    <w:basedOn w:val="1011"/>
    <w:next w:val="1011"/>
    <w:uiPriority w:val="35"/>
    <w:semiHidden/>
    <w:unhideWhenUsed/>
    <w:qFormat/>
    <w:pPr>
      <w:spacing w:line="276" w:lineRule="auto"/>
    </w:pPr>
    <w:rPr>
      <w:b/>
      <w:bCs/>
      <w:color w:val="4f81bd" w:themeColor="accent1"/>
      <w:sz w:val="18"/>
      <w:szCs w:val="18"/>
    </w:rPr>
  </w:style>
  <w:style w:type="table" w:styleId="9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5">
    <w:name w:val="Hyperlink"/>
    <w:uiPriority w:val="99"/>
    <w:unhideWhenUsed/>
    <w:rPr>
      <w:color w:val="0000ff" w:themeColor="hyperlink"/>
      <w:u w:val="single"/>
    </w:rPr>
  </w:style>
  <w:style w:type="paragraph" w:styleId="996">
    <w:name w:val="footnote text"/>
    <w:basedOn w:val="1011"/>
    <w:link w:val="1169"/>
    <w:uiPriority w:val="99"/>
    <w:semiHidden/>
    <w:unhideWhenUsed/>
    <w:pPr>
      <w:spacing w:after="40" w:line="240" w:lineRule="auto"/>
    </w:pPr>
    <w:rPr>
      <w:sz w:val="18"/>
    </w:rPr>
  </w:style>
  <w:style w:type="character" w:styleId="997">
    <w:name w:val="footnote reference"/>
    <w:uiPriority w:val="99"/>
    <w:unhideWhenUsed/>
    <w:rPr>
      <w:vertAlign w:val="superscript"/>
    </w:rPr>
  </w:style>
  <w:style w:type="paragraph" w:styleId="998">
    <w:name w:val="endnote text"/>
    <w:basedOn w:val="1011"/>
    <w:link w:val="999"/>
    <w:uiPriority w:val="99"/>
    <w:semiHidden/>
    <w:unhideWhenUsed/>
    <w:pPr>
      <w:spacing w:after="0" w:line="240" w:lineRule="auto"/>
    </w:pPr>
    <w:rPr>
      <w:sz w:val="20"/>
    </w:rPr>
  </w:style>
  <w:style w:type="character" w:styleId="999">
    <w:name w:val="Endnote Text Char"/>
    <w:link w:val="998"/>
    <w:uiPriority w:val="99"/>
    <w:rPr>
      <w:sz w:val="20"/>
    </w:rPr>
  </w:style>
  <w:style w:type="character" w:styleId="1000">
    <w:name w:val="endnote reference"/>
    <w:uiPriority w:val="99"/>
    <w:semiHidden/>
    <w:unhideWhenUsed/>
    <w:rPr>
      <w:vertAlign w:val="superscript"/>
    </w:rPr>
  </w:style>
  <w:style w:type="paragraph" w:styleId="1001">
    <w:name w:val="toc 1"/>
    <w:basedOn w:val="1011"/>
    <w:next w:val="1011"/>
    <w:uiPriority w:val="39"/>
    <w:unhideWhenUsed/>
    <w:pPr>
      <w:ind w:left="0" w:right="0" w:firstLine="0"/>
      <w:spacing w:after="57"/>
    </w:pPr>
  </w:style>
  <w:style w:type="paragraph" w:styleId="1002">
    <w:name w:val="toc 2"/>
    <w:basedOn w:val="1011"/>
    <w:next w:val="1011"/>
    <w:uiPriority w:val="39"/>
    <w:unhideWhenUsed/>
    <w:pPr>
      <w:ind w:left="283" w:right="0" w:firstLine="0"/>
      <w:spacing w:after="57"/>
    </w:pPr>
  </w:style>
  <w:style w:type="paragraph" w:styleId="1003">
    <w:name w:val="toc 3"/>
    <w:basedOn w:val="1011"/>
    <w:next w:val="1011"/>
    <w:uiPriority w:val="39"/>
    <w:unhideWhenUsed/>
    <w:pPr>
      <w:ind w:left="567" w:right="0" w:firstLine="0"/>
      <w:spacing w:after="57"/>
    </w:pPr>
  </w:style>
  <w:style w:type="paragraph" w:styleId="1004">
    <w:name w:val="toc 4"/>
    <w:basedOn w:val="1011"/>
    <w:next w:val="1011"/>
    <w:uiPriority w:val="39"/>
    <w:unhideWhenUsed/>
    <w:pPr>
      <w:ind w:left="850" w:right="0" w:firstLine="0"/>
      <w:spacing w:after="57"/>
    </w:pPr>
  </w:style>
  <w:style w:type="paragraph" w:styleId="1005">
    <w:name w:val="toc 5"/>
    <w:basedOn w:val="1011"/>
    <w:next w:val="1011"/>
    <w:uiPriority w:val="39"/>
    <w:unhideWhenUsed/>
    <w:pPr>
      <w:ind w:left="1134" w:right="0" w:firstLine="0"/>
      <w:spacing w:after="57"/>
    </w:pPr>
  </w:style>
  <w:style w:type="paragraph" w:styleId="1006">
    <w:name w:val="toc 6"/>
    <w:basedOn w:val="1011"/>
    <w:next w:val="1011"/>
    <w:uiPriority w:val="39"/>
    <w:unhideWhenUsed/>
    <w:pPr>
      <w:ind w:left="1417" w:right="0" w:firstLine="0"/>
      <w:spacing w:after="57"/>
    </w:pPr>
  </w:style>
  <w:style w:type="paragraph" w:styleId="1007">
    <w:name w:val="toc 7"/>
    <w:basedOn w:val="1011"/>
    <w:next w:val="1011"/>
    <w:uiPriority w:val="39"/>
    <w:unhideWhenUsed/>
    <w:pPr>
      <w:ind w:left="1701" w:right="0" w:firstLine="0"/>
      <w:spacing w:after="57"/>
    </w:pPr>
  </w:style>
  <w:style w:type="paragraph" w:styleId="1008">
    <w:name w:val="toc 8"/>
    <w:basedOn w:val="1011"/>
    <w:next w:val="1011"/>
    <w:uiPriority w:val="39"/>
    <w:unhideWhenUsed/>
    <w:pPr>
      <w:ind w:left="1984" w:right="0" w:firstLine="0"/>
      <w:spacing w:after="57"/>
    </w:pPr>
  </w:style>
  <w:style w:type="paragraph" w:styleId="1009">
    <w:name w:val="toc 9"/>
    <w:basedOn w:val="1011"/>
    <w:next w:val="1011"/>
    <w:uiPriority w:val="39"/>
    <w:unhideWhenUsed/>
    <w:pPr>
      <w:ind w:left="2268" w:right="0" w:firstLine="0"/>
      <w:spacing w:after="57"/>
    </w:pPr>
  </w:style>
  <w:style w:type="paragraph" w:styleId="1010">
    <w:name w:val="table of figures"/>
    <w:basedOn w:val="1011"/>
    <w:next w:val="1011"/>
    <w:uiPriority w:val="99"/>
    <w:unhideWhenUsed/>
    <w:pPr>
      <w:spacing w:after="0" w:afterAutospacing="0"/>
    </w:pPr>
  </w:style>
  <w:style w:type="paragraph" w:styleId="1011" w:default="1">
    <w:name w:val="Normal"/>
    <w:next w:val="1011"/>
    <w:link w:val="1011"/>
    <w:qFormat/>
    <w:rPr>
      <w:color w:val="000000"/>
      <w:sz w:val="21"/>
      <w:szCs w:val="21"/>
      <w:lang w:val="en-US" w:eastAsia="zh-CN" w:bidi="ar-SA"/>
    </w:rPr>
  </w:style>
  <w:style w:type="character" w:styleId="1012">
    <w:name w:val="默认段落字体"/>
    <w:next w:val="1012"/>
    <w:link w:val="1011"/>
    <w:uiPriority w:val="1"/>
    <w:semiHidden/>
    <w:unhideWhenUsed/>
    <w:qFormat/>
  </w:style>
  <w:style w:type="table" w:styleId="1013">
    <w:name w:val="普通表格"/>
    <w:next w:val="1013"/>
    <w:link w:val="1011"/>
    <w:uiPriority w:val="99"/>
    <w:semiHidden/>
    <w:unhideWhenUsed/>
    <w:qFormat/>
    <w:tblPr/>
  </w:style>
  <w:style w:type="numbering" w:styleId="1014">
    <w:name w:val="无列表"/>
    <w:next w:val="1014"/>
    <w:link w:val="1011"/>
    <w:uiPriority w:val="99"/>
    <w:semiHidden/>
    <w:unhideWhenUsed/>
  </w:style>
  <w:style w:type="character" w:styleId="1015">
    <w:name w:val="Heading 1 Char"/>
    <w:basedOn w:val="1012"/>
    <w:next w:val="1015"/>
    <w:link w:val="1180"/>
    <w:uiPriority w:val="9"/>
    <w:rPr>
      <w:rFonts w:ascii="Arial" w:hAnsi="Arial" w:eastAsia="Arial" w:cs="Arial"/>
      <w:sz w:val="40"/>
      <w:szCs w:val="40"/>
    </w:rPr>
  </w:style>
  <w:style w:type="paragraph" w:styleId="1016">
    <w:name w:val="Heading 2"/>
    <w:basedOn w:val="1011"/>
    <w:next w:val="1011"/>
    <w:link w:val="1017"/>
    <w:uiPriority w:val="9"/>
    <w:unhideWhenUsed/>
    <w:qFormat/>
    <w:pPr>
      <w:keepLines/>
      <w:keepNext/>
      <w:spacing w:before="360" w:after="200"/>
      <w:outlineLvl w:val="1"/>
    </w:pPr>
    <w:rPr>
      <w:rFonts w:ascii="Arial" w:hAnsi="Arial" w:eastAsia="Arial" w:cs="Arial"/>
      <w:sz w:val="34"/>
    </w:rPr>
  </w:style>
  <w:style w:type="character" w:styleId="1017">
    <w:name w:val="Heading 2 Char"/>
    <w:basedOn w:val="1012"/>
    <w:next w:val="1017"/>
    <w:link w:val="1016"/>
    <w:uiPriority w:val="9"/>
    <w:rPr>
      <w:rFonts w:ascii="Arial" w:hAnsi="Arial" w:eastAsia="Arial" w:cs="Arial"/>
      <w:sz w:val="34"/>
    </w:rPr>
  </w:style>
  <w:style w:type="paragraph" w:styleId="1018">
    <w:name w:val="Heading 4"/>
    <w:basedOn w:val="1011"/>
    <w:next w:val="1011"/>
    <w:link w:val="1019"/>
    <w:uiPriority w:val="9"/>
    <w:unhideWhenUsed/>
    <w:qFormat/>
    <w:pPr>
      <w:keepLines/>
      <w:keepNext/>
      <w:spacing w:before="320" w:after="200"/>
      <w:outlineLvl w:val="3"/>
    </w:pPr>
    <w:rPr>
      <w:rFonts w:ascii="Arial" w:hAnsi="Arial" w:eastAsia="Arial" w:cs="Arial"/>
      <w:b/>
      <w:bCs/>
      <w:sz w:val="26"/>
      <w:szCs w:val="26"/>
    </w:rPr>
  </w:style>
  <w:style w:type="character" w:styleId="1019">
    <w:name w:val="Heading 4 Char"/>
    <w:basedOn w:val="1012"/>
    <w:next w:val="1019"/>
    <w:link w:val="1018"/>
    <w:uiPriority w:val="9"/>
    <w:rPr>
      <w:rFonts w:ascii="Arial" w:hAnsi="Arial" w:eastAsia="Arial" w:cs="Arial"/>
      <w:b/>
      <w:bCs/>
      <w:sz w:val="26"/>
      <w:szCs w:val="26"/>
    </w:rPr>
  </w:style>
  <w:style w:type="paragraph" w:styleId="1020">
    <w:name w:val="Heading 5"/>
    <w:basedOn w:val="1011"/>
    <w:next w:val="1011"/>
    <w:link w:val="1021"/>
    <w:uiPriority w:val="9"/>
    <w:unhideWhenUsed/>
    <w:qFormat/>
    <w:pPr>
      <w:keepLines/>
      <w:keepNext/>
      <w:spacing w:before="320" w:after="200"/>
      <w:outlineLvl w:val="4"/>
    </w:pPr>
    <w:rPr>
      <w:rFonts w:ascii="Arial" w:hAnsi="Arial" w:eastAsia="Arial" w:cs="Arial"/>
      <w:b/>
      <w:bCs/>
      <w:sz w:val="24"/>
      <w:szCs w:val="24"/>
    </w:rPr>
  </w:style>
  <w:style w:type="character" w:styleId="1021">
    <w:name w:val="Heading 5 Char"/>
    <w:basedOn w:val="1012"/>
    <w:next w:val="1021"/>
    <w:link w:val="1020"/>
    <w:uiPriority w:val="9"/>
    <w:rPr>
      <w:rFonts w:ascii="Arial" w:hAnsi="Arial" w:eastAsia="Arial" w:cs="Arial"/>
      <w:b/>
      <w:bCs/>
      <w:sz w:val="24"/>
      <w:szCs w:val="24"/>
    </w:rPr>
  </w:style>
  <w:style w:type="paragraph" w:styleId="1022">
    <w:name w:val="Heading 6"/>
    <w:basedOn w:val="1011"/>
    <w:next w:val="1011"/>
    <w:link w:val="1023"/>
    <w:uiPriority w:val="9"/>
    <w:unhideWhenUsed/>
    <w:qFormat/>
    <w:pPr>
      <w:keepLines/>
      <w:keepNext/>
      <w:spacing w:before="320" w:after="200"/>
      <w:outlineLvl w:val="5"/>
    </w:pPr>
    <w:rPr>
      <w:rFonts w:ascii="Arial" w:hAnsi="Arial" w:eastAsia="Arial" w:cs="Arial"/>
      <w:b/>
      <w:bCs/>
      <w:sz w:val="22"/>
      <w:szCs w:val="22"/>
    </w:rPr>
  </w:style>
  <w:style w:type="character" w:styleId="1023">
    <w:name w:val="Heading 6 Char"/>
    <w:basedOn w:val="1012"/>
    <w:next w:val="1023"/>
    <w:link w:val="1022"/>
    <w:uiPriority w:val="9"/>
    <w:rPr>
      <w:rFonts w:ascii="Arial" w:hAnsi="Arial" w:eastAsia="Arial" w:cs="Arial"/>
      <w:b/>
      <w:bCs/>
      <w:sz w:val="22"/>
      <w:szCs w:val="22"/>
    </w:rPr>
  </w:style>
  <w:style w:type="paragraph" w:styleId="1024">
    <w:name w:val="Heading 7"/>
    <w:basedOn w:val="1011"/>
    <w:next w:val="1011"/>
    <w:link w:val="1025"/>
    <w:uiPriority w:val="9"/>
    <w:unhideWhenUsed/>
    <w:qFormat/>
    <w:pPr>
      <w:keepLines/>
      <w:keepNext/>
      <w:spacing w:before="320" w:after="200"/>
      <w:outlineLvl w:val="6"/>
    </w:pPr>
    <w:rPr>
      <w:rFonts w:ascii="Arial" w:hAnsi="Arial" w:eastAsia="Arial" w:cs="Arial"/>
      <w:b/>
      <w:bCs/>
      <w:i/>
      <w:iCs/>
      <w:sz w:val="22"/>
      <w:szCs w:val="22"/>
    </w:rPr>
  </w:style>
  <w:style w:type="character" w:styleId="1025">
    <w:name w:val="Heading 7 Char"/>
    <w:basedOn w:val="1012"/>
    <w:next w:val="1025"/>
    <w:link w:val="1024"/>
    <w:uiPriority w:val="9"/>
    <w:rPr>
      <w:rFonts w:ascii="Arial" w:hAnsi="Arial" w:eastAsia="Arial" w:cs="Arial"/>
      <w:b/>
      <w:bCs/>
      <w:i/>
      <w:iCs/>
      <w:sz w:val="22"/>
      <w:szCs w:val="22"/>
    </w:rPr>
  </w:style>
  <w:style w:type="paragraph" w:styleId="1026">
    <w:name w:val="Heading 8"/>
    <w:basedOn w:val="1011"/>
    <w:next w:val="1011"/>
    <w:link w:val="1027"/>
    <w:uiPriority w:val="9"/>
    <w:unhideWhenUsed/>
    <w:qFormat/>
    <w:pPr>
      <w:keepLines/>
      <w:keepNext/>
      <w:spacing w:before="320" w:after="200"/>
      <w:outlineLvl w:val="7"/>
    </w:pPr>
    <w:rPr>
      <w:rFonts w:ascii="Arial" w:hAnsi="Arial" w:eastAsia="Arial" w:cs="Arial"/>
      <w:i/>
      <w:iCs/>
      <w:sz w:val="22"/>
      <w:szCs w:val="22"/>
    </w:rPr>
  </w:style>
  <w:style w:type="character" w:styleId="1027">
    <w:name w:val="Heading 8 Char"/>
    <w:basedOn w:val="1012"/>
    <w:next w:val="1027"/>
    <w:link w:val="1026"/>
    <w:uiPriority w:val="9"/>
    <w:rPr>
      <w:rFonts w:ascii="Arial" w:hAnsi="Arial" w:eastAsia="Arial" w:cs="Arial"/>
      <w:i/>
      <w:iCs/>
      <w:sz w:val="22"/>
      <w:szCs w:val="22"/>
    </w:rPr>
  </w:style>
  <w:style w:type="paragraph" w:styleId="1028">
    <w:name w:val="Heading 9"/>
    <w:basedOn w:val="1011"/>
    <w:next w:val="1011"/>
    <w:link w:val="1029"/>
    <w:uiPriority w:val="9"/>
    <w:unhideWhenUsed/>
    <w:qFormat/>
    <w:pPr>
      <w:keepLines/>
      <w:keepNext/>
      <w:spacing w:before="320" w:after="200"/>
      <w:outlineLvl w:val="8"/>
    </w:pPr>
    <w:rPr>
      <w:rFonts w:ascii="Arial" w:hAnsi="Arial" w:eastAsia="Arial" w:cs="Arial"/>
      <w:i/>
      <w:iCs/>
      <w:sz w:val="21"/>
      <w:szCs w:val="21"/>
    </w:rPr>
  </w:style>
  <w:style w:type="character" w:styleId="1029">
    <w:name w:val="Heading 9 Char"/>
    <w:basedOn w:val="1012"/>
    <w:next w:val="1029"/>
    <w:link w:val="1028"/>
    <w:uiPriority w:val="9"/>
    <w:rPr>
      <w:rFonts w:ascii="Arial" w:hAnsi="Arial" w:eastAsia="Arial" w:cs="Arial"/>
      <w:i/>
      <w:iCs/>
      <w:sz w:val="21"/>
      <w:szCs w:val="21"/>
    </w:rPr>
  </w:style>
  <w:style w:type="paragraph" w:styleId="1030">
    <w:name w:val="无间隔"/>
    <w:next w:val="1030"/>
    <w:link w:val="1011"/>
    <w:uiPriority w:val="1"/>
    <w:qFormat/>
    <w:rPr>
      <w:lang w:val="en-US" w:eastAsia="zh-CN" w:bidi="ar-SA"/>
    </w:rPr>
  </w:style>
  <w:style w:type="paragraph" w:styleId="1031">
    <w:name w:val="标题"/>
    <w:basedOn w:val="1011"/>
    <w:next w:val="1011"/>
    <w:link w:val="1032"/>
    <w:uiPriority w:val="10"/>
    <w:qFormat/>
    <w:pPr>
      <w:contextualSpacing/>
      <w:spacing w:before="300" w:after="200"/>
    </w:pPr>
    <w:rPr>
      <w:sz w:val="48"/>
      <w:szCs w:val="48"/>
    </w:rPr>
  </w:style>
  <w:style w:type="character" w:styleId="1032">
    <w:name w:val="标题 Char"/>
    <w:basedOn w:val="1012"/>
    <w:next w:val="1032"/>
    <w:link w:val="1031"/>
    <w:uiPriority w:val="10"/>
    <w:rPr>
      <w:sz w:val="48"/>
      <w:szCs w:val="48"/>
    </w:rPr>
  </w:style>
  <w:style w:type="paragraph" w:styleId="1033">
    <w:name w:val="副标题"/>
    <w:basedOn w:val="1011"/>
    <w:next w:val="1011"/>
    <w:link w:val="1034"/>
    <w:uiPriority w:val="11"/>
    <w:qFormat/>
    <w:pPr>
      <w:spacing w:before="200" w:after="200"/>
    </w:pPr>
    <w:rPr>
      <w:sz w:val="24"/>
      <w:szCs w:val="24"/>
    </w:rPr>
  </w:style>
  <w:style w:type="character" w:styleId="1034">
    <w:name w:val="副标题 Char"/>
    <w:basedOn w:val="1012"/>
    <w:next w:val="1034"/>
    <w:link w:val="1033"/>
    <w:uiPriority w:val="11"/>
    <w:rPr>
      <w:sz w:val="24"/>
      <w:szCs w:val="24"/>
    </w:rPr>
  </w:style>
  <w:style w:type="paragraph" w:styleId="1035">
    <w:name w:val="引用"/>
    <w:basedOn w:val="1011"/>
    <w:next w:val="1011"/>
    <w:link w:val="1036"/>
    <w:uiPriority w:val="29"/>
    <w:qFormat/>
    <w:pPr>
      <w:ind w:left="720" w:right="720"/>
    </w:pPr>
    <w:rPr>
      <w:rFonts w:cs="Times New Roman"/>
      <w:i/>
      <w:color w:val="000000"/>
      <w:sz w:val="20"/>
      <w:szCs w:val="20"/>
      <w:lang w:val="en-US" w:eastAsia="en-US"/>
    </w:rPr>
  </w:style>
  <w:style w:type="character" w:styleId="1036">
    <w:name w:val="引用 Char"/>
    <w:next w:val="1036"/>
    <w:link w:val="1035"/>
    <w:uiPriority w:val="29"/>
    <w:rPr>
      <w:i/>
    </w:rPr>
  </w:style>
  <w:style w:type="paragraph" w:styleId="1037">
    <w:name w:val="明显引用"/>
    <w:basedOn w:val="1011"/>
    <w:next w:val="1011"/>
    <w:link w:val="10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cs="Times New Roman"/>
      <w:i/>
      <w:color w:val="000000"/>
      <w:sz w:val="20"/>
      <w:szCs w:val="20"/>
      <w:lang w:val="en-US" w:eastAsia="en-US"/>
    </w:rPr>
  </w:style>
  <w:style w:type="character" w:styleId="1038">
    <w:name w:val="明显引用 Char"/>
    <w:next w:val="1038"/>
    <w:link w:val="1037"/>
    <w:uiPriority w:val="30"/>
    <w:rPr>
      <w:i/>
    </w:rPr>
  </w:style>
  <w:style w:type="character" w:styleId="1039">
    <w:name w:val="Header Char"/>
    <w:basedOn w:val="1012"/>
    <w:next w:val="1039"/>
    <w:link w:val="1190"/>
    <w:uiPriority w:val="99"/>
  </w:style>
  <w:style w:type="character" w:styleId="1040">
    <w:name w:val="Footer Char"/>
    <w:basedOn w:val="1012"/>
    <w:next w:val="1040"/>
    <w:link w:val="1189"/>
    <w:uiPriority w:val="99"/>
  </w:style>
  <w:style w:type="paragraph" w:styleId="1041">
    <w:name w:val="Caption1"/>
    <w:basedOn w:val="1011"/>
    <w:next w:val="1011"/>
    <w:link w:val="1011"/>
    <w:uiPriority w:val="35"/>
    <w:semiHidden/>
    <w:unhideWhenUsed/>
    <w:qFormat/>
    <w:pPr>
      <w:spacing w:line="276" w:lineRule="auto"/>
    </w:pPr>
    <w:rPr>
      <w:b/>
      <w:bCs/>
      <w:color w:val="4f81bd"/>
      <w:sz w:val="18"/>
      <w:szCs w:val="18"/>
    </w:rPr>
  </w:style>
  <w:style w:type="character" w:styleId="1042">
    <w:name w:val="Caption Char"/>
    <w:next w:val="1042"/>
    <w:link w:val="1011"/>
    <w:uiPriority w:val="99"/>
  </w:style>
  <w:style w:type="table" w:styleId="1043">
    <w:name w:val="网格型"/>
    <w:basedOn w:val="1013"/>
    <w:next w:val="1043"/>
    <w:link w:val="1011"/>
    <w:uiPriority w:val="59"/>
    <w:pPr>
      <w:spacing w:after="0" w:line="240" w:lineRule="auto"/>
    </w:pPr>
    <w:tblPr/>
  </w:style>
  <w:style w:type="table" w:styleId="1044">
    <w:name w:val="Table Grid Light"/>
    <w:basedOn w:val="1013"/>
    <w:next w:val="1044"/>
    <w:link w:val="1011"/>
    <w:uiPriority w:val="59"/>
    <w:pPr>
      <w:spacing w:after="0" w:line="240" w:lineRule="auto"/>
    </w:pPr>
    <w:tblPr/>
  </w:style>
  <w:style w:type="table" w:styleId="1045">
    <w:name w:val="Plain Table 1"/>
    <w:basedOn w:val="1013"/>
    <w:next w:val="1045"/>
    <w:link w:val="1011"/>
    <w:uiPriority w:val="59"/>
    <w:pPr>
      <w:spacing w:after="0" w:line="240" w:lineRule="auto"/>
    </w:pPr>
    <w:tblPr/>
  </w:style>
  <w:style w:type="table" w:styleId="1046">
    <w:name w:val="Plain Table 2"/>
    <w:basedOn w:val="1013"/>
    <w:next w:val="1046"/>
    <w:link w:val="1011"/>
    <w:uiPriority w:val="59"/>
    <w:pPr>
      <w:spacing w:after="0" w:line="240" w:lineRule="auto"/>
    </w:pPr>
    <w:tblPr/>
  </w:style>
  <w:style w:type="table" w:styleId="1047">
    <w:name w:val="Plain Table 3"/>
    <w:basedOn w:val="1013"/>
    <w:next w:val="1047"/>
    <w:link w:val="1011"/>
    <w:uiPriority w:val="99"/>
    <w:pPr>
      <w:spacing w:after="0" w:line="240" w:lineRule="auto"/>
    </w:pPr>
    <w:tblPr/>
  </w:style>
  <w:style w:type="table" w:styleId="1048">
    <w:name w:val="Plain Table 4"/>
    <w:basedOn w:val="1013"/>
    <w:next w:val="1048"/>
    <w:link w:val="1011"/>
    <w:uiPriority w:val="99"/>
    <w:pPr>
      <w:spacing w:after="0" w:line="240" w:lineRule="auto"/>
    </w:pPr>
    <w:tblPr/>
  </w:style>
  <w:style w:type="table" w:styleId="1049">
    <w:name w:val="Plain Table 5"/>
    <w:basedOn w:val="1013"/>
    <w:next w:val="1049"/>
    <w:link w:val="1011"/>
    <w:uiPriority w:val="99"/>
    <w:pPr>
      <w:spacing w:after="0" w:line="240" w:lineRule="auto"/>
    </w:pPr>
    <w:tblPr/>
  </w:style>
  <w:style w:type="table" w:styleId="1050">
    <w:name w:val="Grid Table 1 Light"/>
    <w:basedOn w:val="1013"/>
    <w:next w:val="1050"/>
    <w:link w:val="1011"/>
    <w:uiPriority w:val="99"/>
    <w:pPr>
      <w:spacing w:after="0" w:line="240" w:lineRule="auto"/>
    </w:pPr>
    <w:tblPr/>
  </w:style>
  <w:style w:type="table" w:styleId="1051">
    <w:name w:val="Grid Table 1 Light - Accent 1"/>
    <w:basedOn w:val="1013"/>
    <w:next w:val="1051"/>
    <w:link w:val="1011"/>
    <w:uiPriority w:val="99"/>
    <w:pPr>
      <w:spacing w:after="0" w:line="240" w:lineRule="auto"/>
    </w:pPr>
    <w:tblPr/>
  </w:style>
  <w:style w:type="table" w:styleId="1052">
    <w:name w:val="Grid Table 1 Light - Accent 2"/>
    <w:basedOn w:val="1013"/>
    <w:next w:val="1052"/>
    <w:link w:val="1011"/>
    <w:uiPriority w:val="99"/>
    <w:pPr>
      <w:spacing w:after="0" w:line="240" w:lineRule="auto"/>
    </w:pPr>
    <w:tblPr/>
  </w:style>
  <w:style w:type="table" w:styleId="1053">
    <w:name w:val="Grid Table 1 Light - Accent 3"/>
    <w:basedOn w:val="1013"/>
    <w:next w:val="1053"/>
    <w:link w:val="1011"/>
    <w:uiPriority w:val="99"/>
    <w:pPr>
      <w:spacing w:after="0" w:line="240" w:lineRule="auto"/>
    </w:pPr>
    <w:tblPr/>
  </w:style>
  <w:style w:type="table" w:styleId="1054">
    <w:name w:val="Grid Table 1 Light - Accent 4"/>
    <w:basedOn w:val="1013"/>
    <w:next w:val="1054"/>
    <w:link w:val="1011"/>
    <w:uiPriority w:val="99"/>
    <w:pPr>
      <w:spacing w:after="0" w:line="240" w:lineRule="auto"/>
    </w:pPr>
    <w:tblPr/>
  </w:style>
  <w:style w:type="table" w:styleId="1055">
    <w:name w:val="Grid Table 1 Light - Accent 5"/>
    <w:basedOn w:val="1013"/>
    <w:next w:val="1055"/>
    <w:link w:val="1011"/>
    <w:uiPriority w:val="99"/>
    <w:pPr>
      <w:spacing w:after="0" w:line="240" w:lineRule="auto"/>
    </w:pPr>
    <w:tblPr/>
  </w:style>
  <w:style w:type="table" w:styleId="1056">
    <w:name w:val="Grid Table 1 Light - Accent 6"/>
    <w:basedOn w:val="1013"/>
    <w:next w:val="1056"/>
    <w:link w:val="1011"/>
    <w:uiPriority w:val="99"/>
    <w:pPr>
      <w:spacing w:after="0" w:line="240" w:lineRule="auto"/>
    </w:pPr>
    <w:tblPr/>
  </w:style>
  <w:style w:type="table" w:styleId="1057">
    <w:name w:val="Grid Table 2"/>
    <w:basedOn w:val="1013"/>
    <w:next w:val="1057"/>
    <w:link w:val="1011"/>
    <w:uiPriority w:val="99"/>
    <w:pPr>
      <w:spacing w:after="0" w:line="240" w:lineRule="auto"/>
    </w:pPr>
    <w:tblPr/>
  </w:style>
  <w:style w:type="table" w:styleId="1058">
    <w:name w:val="Grid Table 2 - Accent 1"/>
    <w:basedOn w:val="1013"/>
    <w:next w:val="1058"/>
    <w:link w:val="1011"/>
    <w:uiPriority w:val="99"/>
    <w:pPr>
      <w:spacing w:after="0" w:line="240" w:lineRule="auto"/>
    </w:pPr>
    <w:tblPr/>
  </w:style>
  <w:style w:type="table" w:styleId="1059">
    <w:name w:val="Grid Table 2 - Accent 2"/>
    <w:basedOn w:val="1013"/>
    <w:next w:val="1059"/>
    <w:link w:val="1011"/>
    <w:uiPriority w:val="99"/>
    <w:pPr>
      <w:spacing w:after="0" w:line="240" w:lineRule="auto"/>
    </w:pPr>
    <w:tblPr/>
  </w:style>
  <w:style w:type="table" w:styleId="1060">
    <w:name w:val="Grid Table 2 - Accent 3"/>
    <w:basedOn w:val="1013"/>
    <w:next w:val="1060"/>
    <w:link w:val="1011"/>
    <w:uiPriority w:val="99"/>
    <w:pPr>
      <w:spacing w:after="0" w:line="240" w:lineRule="auto"/>
    </w:pPr>
    <w:tblPr/>
  </w:style>
  <w:style w:type="table" w:styleId="1061">
    <w:name w:val="Grid Table 2 - Accent 4"/>
    <w:basedOn w:val="1013"/>
    <w:next w:val="1061"/>
    <w:link w:val="1011"/>
    <w:uiPriority w:val="99"/>
    <w:pPr>
      <w:spacing w:after="0" w:line="240" w:lineRule="auto"/>
    </w:pPr>
    <w:tblPr/>
  </w:style>
  <w:style w:type="table" w:styleId="1062">
    <w:name w:val="Grid Table 2 - Accent 5"/>
    <w:basedOn w:val="1013"/>
    <w:next w:val="1062"/>
    <w:link w:val="1011"/>
    <w:uiPriority w:val="99"/>
    <w:pPr>
      <w:spacing w:after="0" w:line="240" w:lineRule="auto"/>
    </w:pPr>
    <w:tblPr/>
  </w:style>
  <w:style w:type="table" w:styleId="1063">
    <w:name w:val="Grid Table 2 - Accent 6"/>
    <w:basedOn w:val="1013"/>
    <w:next w:val="1063"/>
    <w:link w:val="1011"/>
    <w:uiPriority w:val="99"/>
    <w:pPr>
      <w:spacing w:after="0" w:line="240" w:lineRule="auto"/>
    </w:pPr>
    <w:tblPr/>
  </w:style>
  <w:style w:type="table" w:styleId="1064">
    <w:name w:val="Grid Table 3"/>
    <w:basedOn w:val="1013"/>
    <w:next w:val="1064"/>
    <w:link w:val="1011"/>
    <w:uiPriority w:val="99"/>
    <w:pPr>
      <w:spacing w:after="0" w:line="240" w:lineRule="auto"/>
    </w:pPr>
    <w:tblPr/>
  </w:style>
  <w:style w:type="table" w:styleId="1065">
    <w:name w:val="Grid Table 3 - Accent 1"/>
    <w:basedOn w:val="1013"/>
    <w:next w:val="1065"/>
    <w:link w:val="1011"/>
    <w:uiPriority w:val="99"/>
    <w:pPr>
      <w:spacing w:after="0" w:line="240" w:lineRule="auto"/>
    </w:pPr>
    <w:tblPr/>
  </w:style>
  <w:style w:type="table" w:styleId="1066">
    <w:name w:val="Grid Table 3 - Accent 2"/>
    <w:basedOn w:val="1013"/>
    <w:next w:val="1066"/>
    <w:link w:val="1011"/>
    <w:uiPriority w:val="99"/>
    <w:pPr>
      <w:spacing w:after="0" w:line="240" w:lineRule="auto"/>
    </w:pPr>
    <w:tblPr/>
  </w:style>
  <w:style w:type="table" w:styleId="1067">
    <w:name w:val="Grid Table 3 - Accent 3"/>
    <w:basedOn w:val="1013"/>
    <w:next w:val="1067"/>
    <w:link w:val="1011"/>
    <w:uiPriority w:val="99"/>
    <w:pPr>
      <w:spacing w:after="0" w:line="240" w:lineRule="auto"/>
    </w:pPr>
    <w:tblPr/>
  </w:style>
  <w:style w:type="table" w:styleId="1068">
    <w:name w:val="Grid Table 3 - Accent 4"/>
    <w:basedOn w:val="1013"/>
    <w:next w:val="1068"/>
    <w:link w:val="1011"/>
    <w:uiPriority w:val="99"/>
    <w:pPr>
      <w:spacing w:after="0" w:line="240" w:lineRule="auto"/>
    </w:pPr>
    <w:tblPr/>
  </w:style>
  <w:style w:type="table" w:styleId="1069">
    <w:name w:val="Grid Table 3 - Accent 5"/>
    <w:basedOn w:val="1013"/>
    <w:next w:val="1069"/>
    <w:link w:val="1011"/>
    <w:uiPriority w:val="99"/>
    <w:pPr>
      <w:spacing w:after="0" w:line="240" w:lineRule="auto"/>
    </w:pPr>
    <w:tblPr/>
  </w:style>
  <w:style w:type="table" w:styleId="1070">
    <w:name w:val="Grid Table 3 - Accent 6"/>
    <w:basedOn w:val="1013"/>
    <w:next w:val="1070"/>
    <w:link w:val="1011"/>
    <w:uiPriority w:val="99"/>
    <w:pPr>
      <w:spacing w:after="0" w:line="240" w:lineRule="auto"/>
    </w:pPr>
    <w:tblPr/>
  </w:style>
  <w:style w:type="table" w:styleId="1071">
    <w:name w:val="Grid Table 4"/>
    <w:basedOn w:val="1013"/>
    <w:next w:val="1071"/>
    <w:link w:val="1011"/>
    <w:uiPriority w:val="59"/>
    <w:pPr>
      <w:spacing w:after="0" w:line="240" w:lineRule="auto"/>
    </w:pPr>
    <w:tblPr/>
  </w:style>
  <w:style w:type="table" w:styleId="1072">
    <w:name w:val="Grid Table 4 - Accent 1"/>
    <w:basedOn w:val="1013"/>
    <w:next w:val="1072"/>
    <w:link w:val="1011"/>
    <w:uiPriority w:val="59"/>
    <w:pPr>
      <w:spacing w:after="0" w:line="240" w:lineRule="auto"/>
    </w:pPr>
    <w:tblPr/>
  </w:style>
  <w:style w:type="table" w:styleId="1073">
    <w:name w:val="Grid Table 4 - Accent 2"/>
    <w:basedOn w:val="1013"/>
    <w:next w:val="1073"/>
    <w:link w:val="1011"/>
    <w:uiPriority w:val="59"/>
    <w:pPr>
      <w:spacing w:after="0" w:line="240" w:lineRule="auto"/>
    </w:pPr>
    <w:tblPr/>
  </w:style>
  <w:style w:type="table" w:styleId="1074">
    <w:name w:val="Grid Table 4 - Accent 3"/>
    <w:basedOn w:val="1013"/>
    <w:next w:val="1074"/>
    <w:link w:val="1011"/>
    <w:uiPriority w:val="59"/>
    <w:pPr>
      <w:spacing w:after="0" w:line="240" w:lineRule="auto"/>
    </w:pPr>
    <w:tblPr/>
  </w:style>
  <w:style w:type="table" w:styleId="1075">
    <w:name w:val="Grid Table 4 - Accent 4"/>
    <w:basedOn w:val="1013"/>
    <w:next w:val="1075"/>
    <w:link w:val="1011"/>
    <w:uiPriority w:val="59"/>
    <w:pPr>
      <w:spacing w:after="0" w:line="240" w:lineRule="auto"/>
    </w:pPr>
    <w:tblPr/>
  </w:style>
  <w:style w:type="table" w:styleId="1076">
    <w:name w:val="Grid Table 4 - Accent 5"/>
    <w:basedOn w:val="1013"/>
    <w:next w:val="1076"/>
    <w:link w:val="1011"/>
    <w:uiPriority w:val="59"/>
    <w:pPr>
      <w:spacing w:after="0" w:line="240" w:lineRule="auto"/>
    </w:pPr>
    <w:tblPr/>
  </w:style>
  <w:style w:type="table" w:styleId="1077">
    <w:name w:val="Grid Table 4 - Accent 6"/>
    <w:basedOn w:val="1013"/>
    <w:next w:val="1077"/>
    <w:link w:val="1011"/>
    <w:uiPriority w:val="59"/>
    <w:pPr>
      <w:spacing w:after="0" w:line="240" w:lineRule="auto"/>
    </w:pPr>
    <w:tblPr/>
  </w:style>
  <w:style w:type="table" w:styleId="1078">
    <w:name w:val="Grid Table 5 Dark"/>
    <w:basedOn w:val="1013"/>
    <w:next w:val="1078"/>
    <w:link w:val="1011"/>
    <w:uiPriority w:val="99"/>
    <w:pPr>
      <w:spacing w:after="0" w:line="240" w:lineRule="auto"/>
    </w:pPr>
    <w:tblPr/>
  </w:style>
  <w:style w:type="table" w:styleId="1079">
    <w:name w:val="Grid Table 5 Dark- Accent 1"/>
    <w:basedOn w:val="1013"/>
    <w:next w:val="1079"/>
    <w:link w:val="1011"/>
    <w:uiPriority w:val="99"/>
    <w:pPr>
      <w:spacing w:after="0" w:line="240" w:lineRule="auto"/>
    </w:pPr>
    <w:tblPr/>
  </w:style>
  <w:style w:type="table" w:styleId="1080">
    <w:name w:val="Grid Table 5 Dark - Accent 2"/>
    <w:basedOn w:val="1013"/>
    <w:next w:val="1080"/>
    <w:link w:val="1011"/>
    <w:uiPriority w:val="99"/>
    <w:pPr>
      <w:spacing w:after="0" w:line="240" w:lineRule="auto"/>
    </w:pPr>
    <w:tblPr/>
  </w:style>
  <w:style w:type="table" w:styleId="1081">
    <w:name w:val="Grid Table 5 Dark - Accent 3"/>
    <w:basedOn w:val="1013"/>
    <w:next w:val="1081"/>
    <w:link w:val="1011"/>
    <w:uiPriority w:val="99"/>
    <w:pPr>
      <w:spacing w:after="0" w:line="240" w:lineRule="auto"/>
    </w:pPr>
    <w:tblPr/>
  </w:style>
  <w:style w:type="table" w:styleId="1082">
    <w:name w:val="Grid Table 5 Dark- Accent 4"/>
    <w:basedOn w:val="1013"/>
    <w:next w:val="1082"/>
    <w:link w:val="1011"/>
    <w:uiPriority w:val="99"/>
    <w:pPr>
      <w:spacing w:after="0" w:line="240" w:lineRule="auto"/>
    </w:pPr>
    <w:tblPr/>
  </w:style>
  <w:style w:type="table" w:styleId="1083">
    <w:name w:val="Grid Table 5 Dark - Accent 5"/>
    <w:basedOn w:val="1013"/>
    <w:next w:val="1083"/>
    <w:link w:val="1011"/>
    <w:uiPriority w:val="99"/>
    <w:pPr>
      <w:spacing w:after="0" w:line="240" w:lineRule="auto"/>
    </w:pPr>
    <w:tblPr/>
  </w:style>
  <w:style w:type="table" w:styleId="1084">
    <w:name w:val="Grid Table 5 Dark - Accent 6"/>
    <w:basedOn w:val="1013"/>
    <w:next w:val="1084"/>
    <w:link w:val="1011"/>
    <w:uiPriority w:val="99"/>
    <w:pPr>
      <w:spacing w:after="0" w:line="240" w:lineRule="auto"/>
    </w:pPr>
    <w:tblPr/>
  </w:style>
  <w:style w:type="table" w:styleId="1085">
    <w:name w:val="Grid Table 6 Colorful"/>
    <w:basedOn w:val="1013"/>
    <w:next w:val="1085"/>
    <w:link w:val="1011"/>
    <w:uiPriority w:val="99"/>
    <w:pPr>
      <w:spacing w:after="0" w:line="240" w:lineRule="auto"/>
    </w:pPr>
    <w:tblPr/>
  </w:style>
  <w:style w:type="table" w:styleId="1086">
    <w:name w:val="Grid Table 6 Colorful - Accent 1"/>
    <w:basedOn w:val="1013"/>
    <w:next w:val="1086"/>
    <w:link w:val="1011"/>
    <w:uiPriority w:val="99"/>
    <w:pPr>
      <w:spacing w:after="0" w:line="240" w:lineRule="auto"/>
    </w:pPr>
    <w:tblPr/>
  </w:style>
  <w:style w:type="table" w:styleId="1087">
    <w:name w:val="Grid Table 6 Colorful - Accent 2"/>
    <w:basedOn w:val="1013"/>
    <w:next w:val="1087"/>
    <w:link w:val="1011"/>
    <w:uiPriority w:val="99"/>
    <w:pPr>
      <w:spacing w:after="0" w:line="240" w:lineRule="auto"/>
    </w:pPr>
    <w:tblPr/>
  </w:style>
  <w:style w:type="table" w:styleId="1088">
    <w:name w:val="Grid Table 6 Colorful - Accent 3"/>
    <w:basedOn w:val="1013"/>
    <w:next w:val="1088"/>
    <w:link w:val="1011"/>
    <w:uiPriority w:val="99"/>
    <w:pPr>
      <w:spacing w:after="0" w:line="240" w:lineRule="auto"/>
    </w:pPr>
    <w:tblPr/>
  </w:style>
  <w:style w:type="table" w:styleId="1089">
    <w:name w:val="Grid Table 6 Colorful - Accent 4"/>
    <w:basedOn w:val="1013"/>
    <w:next w:val="1089"/>
    <w:link w:val="1011"/>
    <w:uiPriority w:val="99"/>
    <w:pPr>
      <w:spacing w:after="0" w:line="240" w:lineRule="auto"/>
    </w:pPr>
    <w:tblPr/>
  </w:style>
  <w:style w:type="table" w:styleId="1090">
    <w:name w:val="Grid Table 6 Colorful - Accent 5"/>
    <w:basedOn w:val="1013"/>
    <w:next w:val="1090"/>
    <w:link w:val="1011"/>
    <w:uiPriority w:val="99"/>
    <w:pPr>
      <w:spacing w:after="0" w:line="240" w:lineRule="auto"/>
    </w:pPr>
    <w:tblPr/>
  </w:style>
  <w:style w:type="table" w:styleId="1091">
    <w:name w:val="Grid Table 6 Colorful - Accent 6"/>
    <w:basedOn w:val="1013"/>
    <w:next w:val="1091"/>
    <w:link w:val="1011"/>
    <w:uiPriority w:val="99"/>
    <w:pPr>
      <w:spacing w:after="0" w:line="240" w:lineRule="auto"/>
    </w:pPr>
    <w:tblPr/>
  </w:style>
  <w:style w:type="table" w:styleId="1092">
    <w:name w:val="Grid Table 7 Colorful"/>
    <w:basedOn w:val="1013"/>
    <w:next w:val="1092"/>
    <w:link w:val="1011"/>
    <w:uiPriority w:val="99"/>
    <w:pPr>
      <w:spacing w:after="0" w:line="240" w:lineRule="auto"/>
    </w:pPr>
    <w:tblPr/>
  </w:style>
  <w:style w:type="table" w:styleId="1093">
    <w:name w:val="Grid Table 7 Colorful - Accent 1"/>
    <w:basedOn w:val="1013"/>
    <w:next w:val="1093"/>
    <w:link w:val="1011"/>
    <w:uiPriority w:val="99"/>
    <w:pPr>
      <w:spacing w:after="0" w:line="240" w:lineRule="auto"/>
    </w:pPr>
    <w:tblPr/>
  </w:style>
  <w:style w:type="table" w:styleId="1094">
    <w:name w:val="Grid Table 7 Colorful - Accent 2"/>
    <w:basedOn w:val="1013"/>
    <w:next w:val="1094"/>
    <w:link w:val="1011"/>
    <w:uiPriority w:val="99"/>
    <w:pPr>
      <w:spacing w:after="0" w:line="240" w:lineRule="auto"/>
    </w:pPr>
    <w:tblPr/>
  </w:style>
  <w:style w:type="table" w:styleId="1095">
    <w:name w:val="Grid Table 7 Colorful - Accent 3"/>
    <w:basedOn w:val="1013"/>
    <w:next w:val="1095"/>
    <w:link w:val="1011"/>
    <w:uiPriority w:val="99"/>
    <w:pPr>
      <w:spacing w:after="0" w:line="240" w:lineRule="auto"/>
    </w:pPr>
    <w:tblPr/>
  </w:style>
  <w:style w:type="table" w:styleId="1096">
    <w:name w:val="Grid Table 7 Colorful - Accent 4"/>
    <w:basedOn w:val="1013"/>
    <w:next w:val="1096"/>
    <w:link w:val="1011"/>
    <w:uiPriority w:val="99"/>
    <w:pPr>
      <w:spacing w:after="0" w:line="240" w:lineRule="auto"/>
    </w:pPr>
    <w:tblPr/>
  </w:style>
  <w:style w:type="table" w:styleId="1097">
    <w:name w:val="Grid Table 7 Colorful - Accent 5"/>
    <w:basedOn w:val="1013"/>
    <w:next w:val="1097"/>
    <w:link w:val="1011"/>
    <w:uiPriority w:val="99"/>
    <w:pPr>
      <w:spacing w:after="0" w:line="240" w:lineRule="auto"/>
    </w:pPr>
    <w:tblPr/>
  </w:style>
  <w:style w:type="table" w:styleId="1098">
    <w:name w:val="Grid Table 7 Colorful - Accent 6"/>
    <w:basedOn w:val="1013"/>
    <w:next w:val="1098"/>
    <w:link w:val="1011"/>
    <w:uiPriority w:val="99"/>
    <w:pPr>
      <w:spacing w:after="0" w:line="240" w:lineRule="auto"/>
    </w:pPr>
    <w:tblPr/>
  </w:style>
  <w:style w:type="table" w:styleId="1099">
    <w:name w:val="List Table 1 Light"/>
    <w:basedOn w:val="1013"/>
    <w:next w:val="1099"/>
    <w:link w:val="1011"/>
    <w:uiPriority w:val="99"/>
    <w:pPr>
      <w:spacing w:after="0" w:line="240" w:lineRule="auto"/>
    </w:pPr>
    <w:tblPr/>
  </w:style>
  <w:style w:type="table" w:styleId="1100">
    <w:name w:val="List Table 1 Light - Accent 1"/>
    <w:basedOn w:val="1013"/>
    <w:next w:val="1100"/>
    <w:link w:val="1011"/>
    <w:uiPriority w:val="99"/>
    <w:pPr>
      <w:spacing w:after="0" w:line="240" w:lineRule="auto"/>
    </w:pPr>
    <w:tblPr/>
  </w:style>
  <w:style w:type="table" w:styleId="1101">
    <w:name w:val="List Table 1 Light - Accent 2"/>
    <w:basedOn w:val="1013"/>
    <w:next w:val="1101"/>
    <w:link w:val="1011"/>
    <w:uiPriority w:val="99"/>
    <w:pPr>
      <w:spacing w:after="0" w:line="240" w:lineRule="auto"/>
    </w:pPr>
    <w:tblPr/>
  </w:style>
  <w:style w:type="table" w:styleId="1102">
    <w:name w:val="List Table 1 Light - Accent 3"/>
    <w:basedOn w:val="1013"/>
    <w:next w:val="1102"/>
    <w:link w:val="1011"/>
    <w:uiPriority w:val="99"/>
    <w:pPr>
      <w:spacing w:after="0" w:line="240" w:lineRule="auto"/>
    </w:pPr>
    <w:tblPr/>
  </w:style>
  <w:style w:type="table" w:styleId="1103">
    <w:name w:val="List Table 1 Light - Accent 4"/>
    <w:basedOn w:val="1013"/>
    <w:next w:val="1103"/>
    <w:link w:val="1011"/>
    <w:uiPriority w:val="99"/>
    <w:pPr>
      <w:spacing w:after="0" w:line="240" w:lineRule="auto"/>
    </w:pPr>
    <w:tblPr/>
  </w:style>
  <w:style w:type="table" w:styleId="1104">
    <w:name w:val="List Table 1 Light - Accent 5"/>
    <w:basedOn w:val="1013"/>
    <w:next w:val="1104"/>
    <w:link w:val="1011"/>
    <w:uiPriority w:val="99"/>
    <w:pPr>
      <w:spacing w:after="0" w:line="240" w:lineRule="auto"/>
    </w:pPr>
    <w:tblPr/>
  </w:style>
  <w:style w:type="table" w:styleId="1105">
    <w:name w:val="List Table 1 Light - Accent 6"/>
    <w:basedOn w:val="1013"/>
    <w:next w:val="1105"/>
    <w:link w:val="1011"/>
    <w:uiPriority w:val="99"/>
    <w:pPr>
      <w:spacing w:after="0" w:line="240" w:lineRule="auto"/>
    </w:pPr>
    <w:tblPr/>
  </w:style>
  <w:style w:type="table" w:styleId="1106">
    <w:name w:val="List Table 2"/>
    <w:basedOn w:val="1013"/>
    <w:next w:val="1106"/>
    <w:link w:val="1011"/>
    <w:uiPriority w:val="99"/>
    <w:pPr>
      <w:spacing w:after="0" w:line="240" w:lineRule="auto"/>
    </w:pPr>
    <w:tblPr/>
  </w:style>
  <w:style w:type="table" w:styleId="1107">
    <w:name w:val="List Table 2 - Accent 1"/>
    <w:basedOn w:val="1013"/>
    <w:next w:val="1107"/>
    <w:link w:val="1011"/>
    <w:uiPriority w:val="99"/>
    <w:pPr>
      <w:spacing w:after="0" w:line="240" w:lineRule="auto"/>
    </w:pPr>
    <w:tblPr/>
  </w:style>
  <w:style w:type="table" w:styleId="1108">
    <w:name w:val="List Table 2 - Accent 2"/>
    <w:basedOn w:val="1013"/>
    <w:next w:val="1108"/>
    <w:link w:val="1011"/>
    <w:uiPriority w:val="99"/>
    <w:pPr>
      <w:spacing w:after="0" w:line="240" w:lineRule="auto"/>
    </w:pPr>
    <w:tblPr/>
  </w:style>
  <w:style w:type="table" w:styleId="1109">
    <w:name w:val="List Table 2 - Accent 3"/>
    <w:basedOn w:val="1013"/>
    <w:next w:val="1109"/>
    <w:link w:val="1011"/>
    <w:uiPriority w:val="99"/>
    <w:pPr>
      <w:spacing w:after="0" w:line="240" w:lineRule="auto"/>
    </w:pPr>
    <w:tblPr/>
  </w:style>
  <w:style w:type="table" w:styleId="1110">
    <w:name w:val="List Table 2 - Accent 4"/>
    <w:basedOn w:val="1013"/>
    <w:next w:val="1110"/>
    <w:link w:val="1011"/>
    <w:uiPriority w:val="99"/>
    <w:pPr>
      <w:spacing w:after="0" w:line="240" w:lineRule="auto"/>
    </w:pPr>
    <w:tblPr/>
  </w:style>
  <w:style w:type="table" w:styleId="1111">
    <w:name w:val="List Table 2 - Accent 5"/>
    <w:basedOn w:val="1013"/>
    <w:next w:val="1111"/>
    <w:link w:val="1011"/>
    <w:uiPriority w:val="99"/>
    <w:pPr>
      <w:spacing w:after="0" w:line="240" w:lineRule="auto"/>
    </w:pPr>
    <w:tblPr/>
  </w:style>
  <w:style w:type="table" w:styleId="1112">
    <w:name w:val="List Table 2 - Accent 6"/>
    <w:basedOn w:val="1013"/>
    <w:next w:val="1112"/>
    <w:link w:val="1011"/>
    <w:uiPriority w:val="99"/>
    <w:pPr>
      <w:spacing w:after="0" w:line="240" w:lineRule="auto"/>
    </w:pPr>
    <w:tblPr/>
  </w:style>
  <w:style w:type="table" w:styleId="1113">
    <w:name w:val="List Table 3"/>
    <w:basedOn w:val="1013"/>
    <w:next w:val="1113"/>
    <w:link w:val="1011"/>
    <w:uiPriority w:val="99"/>
    <w:pPr>
      <w:spacing w:after="0" w:line="240" w:lineRule="auto"/>
    </w:pPr>
    <w:tblPr/>
  </w:style>
  <w:style w:type="table" w:styleId="1114">
    <w:name w:val="List Table 3 - Accent 1"/>
    <w:basedOn w:val="1013"/>
    <w:next w:val="1114"/>
    <w:link w:val="1011"/>
    <w:uiPriority w:val="99"/>
    <w:pPr>
      <w:spacing w:after="0" w:line="240" w:lineRule="auto"/>
    </w:pPr>
    <w:tblPr/>
  </w:style>
  <w:style w:type="table" w:styleId="1115">
    <w:name w:val="List Table 3 - Accent 2"/>
    <w:basedOn w:val="1013"/>
    <w:next w:val="1115"/>
    <w:link w:val="1011"/>
    <w:uiPriority w:val="99"/>
    <w:pPr>
      <w:spacing w:after="0" w:line="240" w:lineRule="auto"/>
    </w:pPr>
    <w:tblPr/>
  </w:style>
  <w:style w:type="table" w:styleId="1116">
    <w:name w:val="List Table 3 - Accent 3"/>
    <w:basedOn w:val="1013"/>
    <w:next w:val="1116"/>
    <w:link w:val="1011"/>
    <w:uiPriority w:val="99"/>
    <w:pPr>
      <w:spacing w:after="0" w:line="240" w:lineRule="auto"/>
    </w:pPr>
    <w:tblPr/>
  </w:style>
  <w:style w:type="table" w:styleId="1117">
    <w:name w:val="List Table 3 - Accent 4"/>
    <w:basedOn w:val="1013"/>
    <w:next w:val="1117"/>
    <w:link w:val="1011"/>
    <w:uiPriority w:val="99"/>
    <w:pPr>
      <w:spacing w:after="0" w:line="240" w:lineRule="auto"/>
    </w:pPr>
    <w:tblPr/>
  </w:style>
  <w:style w:type="table" w:styleId="1118">
    <w:name w:val="List Table 3 - Accent 5"/>
    <w:basedOn w:val="1013"/>
    <w:next w:val="1118"/>
    <w:link w:val="1011"/>
    <w:uiPriority w:val="99"/>
    <w:pPr>
      <w:spacing w:after="0" w:line="240" w:lineRule="auto"/>
    </w:pPr>
    <w:tblPr/>
  </w:style>
  <w:style w:type="table" w:styleId="1119">
    <w:name w:val="List Table 3 - Accent 6"/>
    <w:basedOn w:val="1013"/>
    <w:next w:val="1119"/>
    <w:link w:val="1011"/>
    <w:uiPriority w:val="99"/>
    <w:pPr>
      <w:spacing w:after="0" w:line="240" w:lineRule="auto"/>
    </w:pPr>
    <w:tblPr/>
  </w:style>
  <w:style w:type="table" w:styleId="1120">
    <w:name w:val="List Table 4"/>
    <w:basedOn w:val="1013"/>
    <w:next w:val="1120"/>
    <w:link w:val="1011"/>
    <w:uiPriority w:val="99"/>
    <w:pPr>
      <w:spacing w:after="0" w:line="240" w:lineRule="auto"/>
    </w:pPr>
    <w:tblPr/>
  </w:style>
  <w:style w:type="table" w:styleId="1121">
    <w:name w:val="List Table 4 - Accent 1"/>
    <w:basedOn w:val="1013"/>
    <w:next w:val="1121"/>
    <w:link w:val="1011"/>
    <w:uiPriority w:val="99"/>
    <w:pPr>
      <w:spacing w:after="0" w:line="240" w:lineRule="auto"/>
    </w:pPr>
    <w:tblPr/>
  </w:style>
  <w:style w:type="table" w:styleId="1122">
    <w:name w:val="List Table 4 - Accent 2"/>
    <w:basedOn w:val="1013"/>
    <w:next w:val="1122"/>
    <w:link w:val="1011"/>
    <w:uiPriority w:val="99"/>
    <w:pPr>
      <w:spacing w:after="0" w:line="240" w:lineRule="auto"/>
    </w:pPr>
    <w:tblPr/>
  </w:style>
  <w:style w:type="table" w:styleId="1123">
    <w:name w:val="List Table 4 - Accent 3"/>
    <w:basedOn w:val="1013"/>
    <w:next w:val="1123"/>
    <w:link w:val="1011"/>
    <w:uiPriority w:val="99"/>
    <w:pPr>
      <w:spacing w:after="0" w:line="240" w:lineRule="auto"/>
    </w:pPr>
    <w:tblPr/>
  </w:style>
  <w:style w:type="table" w:styleId="1124">
    <w:name w:val="List Table 4 - Accent 4"/>
    <w:basedOn w:val="1013"/>
    <w:next w:val="1124"/>
    <w:link w:val="1011"/>
    <w:uiPriority w:val="99"/>
    <w:pPr>
      <w:spacing w:after="0" w:line="240" w:lineRule="auto"/>
    </w:pPr>
    <w:tblPr/>
  </w:style>
  <w:style w:type="table" w:styleId="1125">
    <w:name w:val="List Table 4 - Accent 5"/>
    <w:basedOn w:val="1013"/>
    <w:next w:val="1125"/>
    <w:link w:val="1011"/>
    <w:uiPriority w:val="99"/>
    <w:pPr>
      <w:spacing w:after="0" w:line="240" w:lineRule="auto"/>
    </w:pPr>
    <w:tblPr/>
  </w:style>
  <w:style w:type="table" w:styleId="1126">
    <w:name w:val="List Table 4 - Accent 6"/>
    <w:basedOn w:val="1013"/>
    <w:next w:val="1126"/>
    <w:link w:val="1011"/>
    <w:uiPriority w:val="99"/>
    <w:pPr>
      <w:spacing w:after="0" w:line="240" w:lineRule="auto"/>
    </w:pPr>
    <w:tblPr/>
  </w:style>
  <w:style w:type="table" w:styleId="1127">
    <w:name w:val="List Table 5 Dark"/>
    <w:basedOn w:val="1013"/>
    <w:next w:val="1127"/>
    <w:link w:val="1011"/>
    <w:uiPriority w:val="99"/>
    <w:pPr>
      <w:spacing w:after="0" w:line="240" w:lineRule="auto"/>
    </w:pPr>
    <w:tblPr/>
  </w:style>
  <w:style w:type="table" w:styleId="1128">
    <w:name w:val="List Table 5 Dark - Accent 1"/>
    <w:basedOn w:val="1013"/>
    <w:next w:val="1128"/>
    <w:link w:val="1011"/>
    <w:uiPriority w:val="99"/>
    <w:pPr>
      <w:spacing w:after="0" w:line="240" w:lineRule="auto"/>
    </w:pPr>
    <w:tblPr/>
  </w:style>
  <w:style w:type="table" w:styleId="1129">
    <w:name w:val="List Table 5 Dark - Accent 2"/>
    <w:basedOn w:val="1013"/>
    <w:next w:val="1129"/>
    <w:link w:val="1011"/>
    <w:uiPriority w:val="99"/>
    <w:pPr>
      <w:spacing w:after="0" w:line="240" w:lineRule="auto"/>
    </w:pPr>
    <w:tblPr/>
  </w:style>
  <w:style w:type="table" w:styleId="1130">
    <w:name w:val="List Table 5 Dark - Accent 3"/>
    <w:basedOn w:val="1013"/>
    <w:next w:val="1130"/>
    <w:link w:val="1011"/>
    <w:uiPriority w:val="99"/>
    <w:pPr>
      <w:spacing w:after="0" w:line="240" w:lineRule="auto"/>
    </w:pPr>
    <w:tblPr/>
  </w:style>
  <w:style w:type="table" w:styleId="1131">
    <w:name w:val="List Table 5 Dark - Accent 4"/>
    <w:basedOn w:val="1013"/>
    <w:next w:val="1131"/>
    <w:link w:val="1011"/>
    <w:uiPriority w:val="99"/>
    <w:pPr>
      <w:spacing w:after="0" w:line="240" w:lineRule="auto"/>
    </w:pPr>
    <w:tblPr/>
  </w:style>
  <w:style w:type="table" w:styleId="1132">
    <w:name w:val="List Table 5 Dark - Accent 5"/>
    <w:basedOn w:val="1013"/>
    <w:next w:val="1132"/>
    <w:link w:val="1011"/>
    <w:uiPriority w:val="99"/>
    <w:pPr>
      <w:spacing w:after="0" w:line="240" w:lineRule="auto"/>
    </w:pPr>
    <w:tblPr/>
  </w:style>
  <w:style w:type="table" w:styleId="1133">
    <w:name w:val="List Table 5 Dark - Accent 6"/>
    <w:basedOn w:val="1013"/>
    <w:next w:val="1133"/>
    <w:link w:val="1011"/>
    <w:uiPriority w:val="99"/>
    <w:pPr>
      <w:spacing w:after="0" w:line="240" w:lineRule="auto"/>
    </w:pPr>
    <w:tblPr/>
  </w:style>
  <w:style w:type="table" w:styleId="1134">
    <w:name w:val="List Table 6 Colorful"/>
    <w:basedOn w:val="1013"/>
    <w:next w:val="1134"/>
    <w:link w:val="1011"/>
    <w:uiPriority w:val="99"/>
    <w:pPr>
      <w:spacing w:after="0" w:line="240" w:lineRule="auto"/>
    </w:pPr>
    <w:tblPr/>
  </w:style>
  <w:style w:type="table" w:styleId="1135">
    <w:name w:val="List Table 6 Colorful - Accent 1"/>
    <w:basedOn w:val="1013"/>
    <w:next w:val="1135"/>
    <w:link w:val="1011"/>
    <w:uiPriority w:val="99"/>
    <w:pPr>
      <w:spacing w:after="0" w:line="240" w:lineRule="auto"/>
    </w:pPr>
    <w:tblPr/>
  </w:style>
  <w:style w:type="table" w:styleId="1136">
    <w:name w:val="List Table 6 Colorful - Accent 2"/>
    <w:basedOn w:val="1013"/>
    <w:next w:val="1136"/>
    <w:link w:val="1011"/>
    <w:uiPriority w:val="99"/>
    <w:pPr>
      <w:spacing w:after="0" w:line="240" w:lineRule="auto"/>
    </w:pPr>
    <w:tblPr/>
  </w:style>
  <w:style w:type="table" w:styleId="1137">
    <w:name w:val="List Table 6 Colorful - Accent 3"/>
    <w:basedOn w:val="1013"/>
    <w:next w:val="1137"/>
    <w:link w:val="1011"/>
    <w:uiPriority w:val="99"/>
    <w:pPr>
      <w:spacing w:after="0" w:line="240" w:lineRule="auto"/>
    </w:pPr>
    <w:tblPr/>
  </w:style>
  <w:style w:type="table" w:styleId="1138">
    <w:name w:val="List Table 6 Colorful - Accent 4"/>
    <w:basedOn w:val="1013"/>
    <w:next w:val="1138"/>
    <w:link w:val="1011"/>
    <w:uiPriority w:val="99"/>
    <w:pPr>
      <w:spacing w:after="0" w:line="240" w:lineRule="auto"/>
    </w:pPr>
    <w:tblPr/>
  </w:style>
  <w:style w:type="table" w:styleId="1139">
    <w:name w:val="List Table 6 Colorful - Accent 5"/>
    <w:basedOn w:val="1013"/>
    <w:next w:val="1139"/>
    <w:link w:val="1011"/>
    <w:uiPriority w:val="99"/>
    <w:pPr>
      <w:spacing w:after="0" w:line="240" w:lineRule="auto"/>
    </w:pPr>
    <w:tblPr/>
  </w:style>
  <w:style w:type="table" w:styleId="1140">
    <w:name w:val="List Table 6 Colorful - Accent 6"/>
    <w:basedOn w:val="1013"/>
    <w:next w:val="1140"/>
    <w:link w:val="1011"/>
    <w:uiPriority w:val="99"/>
    <w:pPr>
      <w:spacing w:after="0" w:line="240" w:lineRule="auto"/>
    </w:pPr>
    <w:tblPr/>
  </w:style>
  <w:style w:type="table" w:styleId="1141">
    <w:name w:val="List Table 7 Colorful"/>
    <w:basedOn w:val="1013"/>
    <w:next w:val="1141"/>
    <w:link w:val="1011"/>
    <w:uiPriority w:val="99"/>
    <w:pPr>
      <w:spacing w:after="0" w:line="240" w:lineRule="auto"/>
    </w:pPr>
    <w:tblPr/>
  </w:style>
  <w:style w:type="table" w:styleId="1142">
    <w:name w:val="List Table 7 Colorful - Accent 1"/>
    <w:basedOn w:val="1013"/>
    <w:next w:val="1142"/>
    <w:link w:val="1011"/>
    <w:uiPriority w:val="99"/>
    <w:pPr>
      <w:spacing w:after="0" w:line="240" w:lineRule="auto"/>
    </w:pPr>
    <w:tblPr/>
  </w:style>
  <w:style w:type="table" w:styleId="1143">
    <w:name w:val="List Table 7 Colorful - Accent 2"/>
    <w:basedOn w:val="1013"/>
    <w:next w:val="1143"/>
    <w:link w:val="1011"/>
    <w:uiPriority w:val="99"/>
    <w:pPr>
      <w:spacing w:after="0" w:line="240" w:lineRule="auto"/>
    </w:pPr>
    <w:tblPr/>
  </w:style>
  <w:style w:type="table" w:styleId="1144">
    <w:name w:val="List Table 7 Colorful - Accent 3"/>
    <w:basedOn w:val="1013"/>
    <w:next w:val="1144"/>
    <w:link w:val="1011"/>
    <w:uiPriority w:val="99"/>
    <w:pPr>
      <w:spacing w:after="0" w:line="240" w:lineRule="auto"/>
    </w:pPr>
    <w:tblPr/>
  </w:style>
  <w:style w:type="table" w:styleId="1145">
    <w:name w:val="List Table 7 Colorful - Accent 4"/>
    <w:basedOn w:val="1013"/>
    <w:next w:val="1145"/>
    <w:link w:val="1011"/>
    <w:uiPriority w:val="99"/>
    <w:pPr>
      <w:spacing w:after="0" w:line="240" w:lineRule="auto"/>
    </w:pPr>
    <w:tblPr/>
  </w:style>
  <w:style w:type="table" w:styleId="1146">
    <w:name w:val="List Table 7 Colorful - Accent 5"/>
    <w:basedOn w:val="1013"/>
    <w:next w:val="1146"/>
    <w:link w:val="1011"/>
    <w:uiPriority w:val="99"/>
    <w:pPr>
      <w:spacing w:after="0" w:line="240" w:lineRule="auto"/>
    </w:pPr>
    <w:tblPr/>
  </w:style>
  <w:style w:type="table" w:styleId="1147">
    <w:name w:val="List Table 7 Colorful - Accent 6"/>
    <w:basedOn w:val="1013"/>
    <w:next w:val="1147"/>
    <w:link w:val="1011"/>
    <w:uiPriority w:val="99"/>
    <w:pPr>
      <w:spacing w:after="0" w:line="240" w:lineRule="auto"/>
    </w:pPr>
    <w:tblPr/>
  </w:style>
  <w:style w:type="table" w:styleId="1148">
    <w:name w:val="Lined - Accent"/>
    <w:basedOn w:val="1013"/>
    <w:next w:val="1148"/>
    <w:link w:val="1011"/>
    <w:uiPriority w:val="99"/>
    <w:pPr>
      <w:spacing w:after="0" w:line="240" w:lineRule="auto"/>
    </w:pPr>
    <w:rPr>
      <w:color w:val="404040"/>
    </w:rPr>
    <w:tblPr/>
  </w:style>
  <w:style w:type="table" w:styleId="1149">
    <w:name w:val="Lined - Accent 1"/>
    <w:basedOn w:val="1013"/>
    <w:next w:val="1149"/>
    <w:link w:val="1011"/>
    <w:uiPriority w:val="99"/>
    <w:pPr>
      <w:spacing w:after="0" w:line="240" w:lineRule="auto"/>
    </w:pPr>
    <w:rPr>
      <w:color w:val="404040"/>
    </w:rPr>
    <w:tblPr/>
  </w:style>
  <w:style w:type="table" w:styleId="1150">
    <w:name w:val="Lined - Accent 2"/>
    <w:basedOn w:val="1013"/>
    <w:next w:val="1150"/>
    <w:link w:val="1011"/>
    <w:uiPriority w:val="99"/>
    <w:pPr>
      <w:spacing w:after="0" w:line="240" w:lineRule="auto"/>
    </w:pPr>
    <w:rPr>
      <w:color w:val="404040"/>
    </w:rPr>
    <w:tblPr/>
  </w:style>
  <w:style w:type="table" w:styleId="1151">
    <w:name w:val="Lined - Accent 3"/>
    <w:basedOn w:val="1013"/>
    <w:next w:val="1151"/>
    <w:link w:val="1011"/>
    <w:uiPriority w:val="99"/>
    <w:pPr>
      <w:spacing w:after="0" w:line="240" w:lineRule="auto"/>
    </w:pPr>
    <w:rPr>
      <w:color w:val="404040"/>
    </w:rPr>
    <w:tblPr/>
  </w:style>
  <w:style w:type="table" w:styleId="1152">
    <w:name w:val="Lined - Accent 4"/>
    <w:basedOn w:val="1013"/>
    <w:next w:val="1152"/>
    <w:link w:val="1011"/>
    <w:uiPriority w:val="99"/>
    <w:pPr>
      <w:spacing w:after="0" w:line="240" w:lineRule="auto"/>
    </w:pPr>
    <w:rPr>
      <w:color w:val="404040"/>
    </w:rPr>
    <w:tblPr/>
  </w:style>
  <w:style w:type="table" w:styleId="1153">
    <w:name w:val="Lined - Accent 5"/>
    <w:basedOn w:val="1013"/>
    <w:next w:val="1153"/>
    <w:link w:val="1011"/>
    <w:uiPriority w:val="99"/>
    <w:pPr>
      <w:spacing w:after="0" w:line="240" w:lineRule="auto"/>
    </w:pPr>
    <w:rPr>
      <w:color w:val="404040"/>
    </w:rPr>
    <w:tblPr/>
  </w:style>
  <w:style w:type="table" w:styleId="1154">
    <w:name w:val="Lined - Accent 6"/>
    <w:basedOn w:val="1013"/>
    <w:next w:val="1154"/>
    <w:link w:val="1011"/>
    <w:uiPriority w:val="99"/>
    <w:pPr>
      <w:spacing w:after="0" w:line="240" w:lineRule="auto"/>
    </w:pPr>
    <w:rPr>
      <w:color w:val="404040"/>
    </w:rPr>
    <w:tblPr/>
  </w:style>
  <w:style w:type="table" w:styleId="1155">
    <w:name w:val="Bordered &amp; Lined - Accent"/>
    <w:basedOn w:val="1013"/>
    <w:next w:val="1155"/>
    <w:link w:val="1011"/>
    <w:uiPriority w:val="99"/>
    <w:pPr>
      <w:spacing w:after="0" w:line="240" w:lineRule="auto"/>
    </w:pPr>
    <w:rPr>
      <w:color w:val="404040"/>
    </w:rPr>
    <w:tblPr/>
  </w:style>
  <w:style w:type="table" w:styleId="1156">
    <w:name w:val="Bordered &amp; Lined - Accent 1"/>
    <w:basedOn w:val="1013"/>
    <w:next w:val="1156"/>
    <w:link w:val="1011"/>
    <w:uiPriority w:val="99"/>
    <w:pPr>
      <w:spacing w:after="0" w:line="240" w:lineRule="auto"/>
    </w:pPr>
    <w:rPr>
      <w:color w:val="404040"/>
    </w:rPr>
    <w:tblPr/>
  </w:style>
  <w:style w:type="table" w:styleId="1157">
    <w:name w:val="Bordered &amp; Lined - Accent 2"/>
    <w:basedOn w:val="1013"/>
    <w:next w:val="1157"/>
    <w:link w:val="1011"/>
    <w:uiPriority w:val="99"/>
    <w:pPr>
      <w:spacing w:after="0" w:line="240" w:lineRule="auto"/>
    </w:pPr>
    <w:rPr>
      <w:color w:val="404040"/>
    </w:rPr>
    <w:tblPr/>
  </w:style>
  <w:style w:type="table" w:styleId="1158">
    <w:name w:val="Bordered &amp; Lined - Accent 3"/>
    <w:basedOn w:val="1013"/>
    <w:next w:val="1158"/>
    <w:link w:val="1011"/>
    <w:uiPriority w:val="99"/>
    <w:pPr>
      <w:spacing w:after="0" w:line="240" w:lineRule="auto"/>
    </w:pPr>
    <w:rPr>
      <w:color w:val="404040"/>
    </w:rPr>
    <w:tblPr/>
  </w:style>
  <w:style w:type="table" w:styleId="1159">
    <w:name w:val="Bordered &amp; Lined - Accent 4"/>
    <w:basedOn w:val="1013"/>
    <w:next w:val="1159"/>
    <w:link w:val="1011"/>
    <w:uiPriority w:val="99"/>
    <w:pPr>
      <w:spacing w:after="0" w:line="240" w:lineRule="auto"/>
    </w:pPr>
    <w:rPr>
      <w:color w:val="404040"/>
    </w:rPr>
    <w:tblPr/>
  </w:style>
  <w:style w:type="table" w:styleId="1160">
    <w:name w:val="Bordered &amp; Lined - Accent 5"/>
    <w:basedOn w:val="1013"/>
    <w:next w:val="1160"/>
    <w:link w:val="1011"/>
    <w:uiPriority w:val="99"/>
    <w:pPr>
      <w:spacing w:after="0" w:line="240" w:lineRule="auto"/>
    </w:pPr>
    <w:rPr>
      <w:color w:val="404040"/>
    </w:rPr>
    <w:tblPr/>
  </w:style>
  <w:style w:type="table" w:styleId="1161">
    <w:name w:val="Bordered &amp; Lined - Accent 6"/>
    <w:basedOn w:val="1013"/>
    <w:next w:val="1161"/>
    <w:link w:val="1011"/>
    <w:uiPriority w:val="99"/>
    <w:pPr>
      <w:spacing w:after="0" w:line="240" w:lineRule="auto"/>
    </w:pPr>
    <w:rPr>
      <w:color w:val="404040"/>
    </w:rPr>
    <w:tblPr/>
  </w:style>
  <w:style w:type="table" w:styleId="1162">
    <w:name w:val="Bordered"/>
    <w:basedOn w:val="1013"/>
    <w:next w:val="1162"/>
    <w:link w:val="1011"/>
    <w:uiPriority w:val="99"/>
    <w:pPr>
      <w:spacing w:after="0" w:line="240" w:lineRule="auto"/>
    </w:pPr>
    <w:tblPr/>
  </w:style>
  <w:style w:type="table" w:styleId="1163">
    <w:name w:val="Bordered - Accent 1"/>
    <w:basedOn w:val="1013"/>
    <w:next w:val="1163"/>
    <w:link w:val="1011"/>
    <w:uiPriority w:val="99"/>
    <w:pPr>
      <w:spacing w:after="0" w:line="240" w:lineRule="auto"/>
    </w:pPr>
    <w:tblPr/>
  </w:style>
  <w:style w:type="table" w:styleId="1164">
    <w:name w:val="Bordered - Accent 2"/>
    <w:basedOn w:val="1013"/>
    <w:next w:val="1164"/>
    <w:link w:val="1011"/>
    <w:uiPriority w:val="99"/>
    <w:pPr>
      <w:spacing w:after="0" w:line="240" w:lineRule="auto"/>
    </w:pPr>
    <w:tblPr/>
  </w:style>
  <w:style w:type="table" w:styleId="1165">
    <w:name w:val="Bordered - Accent 3"/>
    <w:basedOn w:val="1013"/>
    <w:next w:val="1165"/>
    <w:link w:val="1011"/>
    <w:uiPriority w:val="99"/>
    <w:pPr>
      <w:spacing w:after="0" w:line="240" w:lineRule="auto"/>
    </w:pPr>
    <w:tblPr/>
  </w:style>
  <w:style w:type="table" w:styleId="1166">
    <w:name w:val="Bordered - Accent 4"/>
    <w:basedOn w:val="1013"/>
    <w:next w:val="1166"/>
    <w:link w:val="1011"/>
    <w:uiPriority w:val="99"/>
    <w:pPr>
      <w:spacing w:after="0" w:line="240" w:lineRule="auto"/>
    </w:pPr>
    <w:tblPr/>
  </w:style>
  <w:style w:type="table" w:styleId="1167">
    <w:name w:val="Bordered - Accent 5"/>
    <w:basedOn w:val="1013"/>
    <w:next w:val="1167"/>
    <w:link w:val="1011"/>
    <w:uiPriority w:val="99"/>
    <w:pPr>
      <w:spacing w:after="0" w:line="240" w:lineRule="auto"/>
    </w:pPr>
    <w:tblPr/>
  </w:style>
  <w:style w:type="table" w:styleId="1168">
    <w:name w:val="Bordered - Accent 6"/>
    <w:basedOn w:val="1013"/>
    <w:next w:val="1168"/>
    <w:link w:val="1011"/>
    <w:uiPriority w:val="99"/>
    <w:pPr>
      <w:spacing w:after="0" w:line="240" w:lineRule="auto"/>
    </w:pPr>
    <w:tblPr/>
  </w:style>
  <w:style w:type="character" w:styleId="1169">
    <w:name w:val="Footnote Text Char"/>
    <w:next w:val="1169"/>
    <w:link w:val="1011"/>
    <w:uiPriority w:val="99"/>
    <w:rPr>
      <w:sz w:val="18"/>
    </w:rPr>
  </w:style>
  <w:style w:type="character" w:styleId="1170">
    <w:name w:val="脚注引用"/>
    <w:basedOn w:val="1012"/>
    <w:next w:val="1170"/>
    <w:link w:val="1011"/>
    <w:uiPriority w:val="99"/>
    <w:unhideWhenUsed/>
    <w:rPr>
      <w:vertAlign w:val="superscript"/>
    </w:rPr>
  </w:style>
  <w:style w:type="paragraph" w:styleId="1171">
    <w:name w:val="尾注文本"/>
    <w:basedOn w:val="1011"/>
    <w:next w:val="1171"/>
    <w:link w:val="1172"/>
    <w:uiPriority w:val="99"/>
    <w:semiHidden/>
    <w:unhideWhenUsed/>
    <w:pPr>
      <w:spacing w:after="0" w:line="240" w:lineRule="auto"/>
    </w:pPr>
    <w:rPr>
      <w:rFonts w:cs="Times New Roman"/>
      <w:color w:val="000000"/>
      <w:sz w:val="20"/>
      <w:szCs w:val="20"/>
      <w:lang w:val="en-US" w:eastAsia="en-US"/>
    </w:rPr>
  </w:style>
  <w:style w:type="character" w:styleId="1172">
    <w:name w:val="尾注文本 Char"/>
    <w:next w:val="1172"/>
    <w:link w:val="1171"/>
    <w:uiPriority w:val="99"/>
    <w:rPr>
      <w:sz w:val="20"/>
    </w:rPr>
  </w:style>
  <w:style w:type="character" w:styleId="1173">
    <w:name w:val="尾注引用"/>
    <w:basedOn w:val="1012"/>
    <w:next w:val="1173"/>
    <w:link w:val="1011"/>
    <w:uiPriority w:val="99"/>
    <w:semiHidden/>
    <w:unhideWhenUsed/>
    <w:rPr>
      <w:vertAlign w:val="superscript"/>
    </w:rPr>
  </w:style>
  <w:style w:type="paragraph" w:styleId="1174">
    <w:name w:val="目录 4"/>
    <w:basedOn w:val="1011"/>
    <w:next w:val="1011"/>
    <w:link w:val="1011"/>
    <w:uiPriority w:val="39"/>
    <w:unhideWhenUsed/>
    <w:pPr>
      <w:ind w:left="850" w:right="0" w:firstLine="0"/>
      <w:spacing w:after="57"/>
    </w:pPr>
  </w:style>
  <w:style w:type="paragraph" w:styleId="1175">
    <w:name w:val="目录 6"/>
    <w:basedOn w:val="1011"/>
    <w:next w:val="1011"/>
    <w:link w:val="1011"/>
    <w:uiPriority w:val="39"/>
    <w:unhideWhenUsed/>
    <w:pPr>
      <w:ind w:left="1417" w:right="0" w:firstLine="0"/>
      <w:spacing w:after="57"/>
    </w:pPr>
  </w:style>
  <w:style w:type="paragraph" w:styleId="1176">
    <w:name w:val="目录 7"/>
    <w:basedOn w:val="1011"/>
    <w:next w:val="1011"/>
    <w:link w:val="1011"/>
    <w:uiPriority w:val="39"/>
    <w:unhideWhenUsed/>
    <w:pPr>
      <w:ind w:left="1701" w:right="0" w:firstLine="0"/>
      <w:spacing w:after="57"/>
    </w:pPr>
  </w:style>
  <w:style w:type="paragraph" w:styleId="1177">
    <w:name w:val="目录 8"/>
    <w:basedOn w:val="1011"/>
    <w:next w:val="1011"/>
    <w:link w:val="1011"/>
    <w:uiPriority w:val="39"/>
    <w:unhideWhenUsed/>
    <w:pPr>
      <w:ind w:left="1984" w:right="0" w:firstLine="0"/>
      <w:spacing w:after="57"/>
    </w:pPr>
  </w:style>
  <w:style w:type="paragraph" w:styleId="1178">
    <w:name w:val="目录 9"/>
    <w:basedOn w:val="1011"/>
    <w:next w:val="1011"/>
    <w:link w:val="1011"/>
    <w:uiPriority w:val="39"/>
    <w:unhideWhenUsed/>
    <w:pPr>
      <w:ind w:left="2268" w:right="0" w:firstLine="0"/>
      <w:spacing w:after="57"/>
    </w:pPr>
  </w:style>
  <w:style w:type="paragraph" w:styleId="1179">
    <w:name w:val="图表目录"/>
    <w:basedOn w:val="1011"/>
    <w:next w:val="1011"/>
    <w:link w:val="1011"/>
    <w:uiPriority w:val="99"/>
    <w:unhideWhenUsed/>
    <w:pPr>
      <w:spacing w:after="0" w:afterAutospacing="0"/>
    </w:pPr>
  </w:style>
  <w:style w:type="paragraph" w:styleId="1180">
    <w:name w:val="Heading 1"/>
    <w:basedOn w:val="1011"/>
    <w:next w:val="1011"/>
    <w:link w:val="1218"/>
    <w:uiPriority w:val="9"/>
    <w:qFormat/>
    <w:pPr>
      <w:keepLines/>
      <w:keepNext/>
      <w:spacing w:before="340" w:after="330" w:line="578" w:lineRule="auto"/>
      <w:outlineLvl w:val="0"/>
    </w:pPr>
    <w:rPr>
      <w:b/>
      <w:bCs/>
      <w:sz w:val="44"/>
      <w:szCs w:val="44"/>
    </w:rPr>
  </w:style>
  <w:style w:type="paragraph" w:styleId="1181">
    <w:name w:val="正文缩进"/>
    <w:basedOn w:val="1011"/>
    <w:next w:val="1181"/>
    <w:link w:val="1211"/>
    <w:qFormat/>
    <w:pPr>
      <w:ind w:firstLine="420"/>
    </w:pPr>
    <w:rPr>
      <w:rFonts w:ascii="Times New Roman" w:hAnsi="Times New Roman" w:eastAsia="KaiTi_GB2312" w:cs="Times New Roman"/>
      <w:color w:val="000000"/>
      <w:sz w:val="24"/>
      <w:szCs w:val="20"/>
      <w:lang w:val="en-US"/>
    </w:rPr>
  </w:style>
  <w:style w:type="paragraph" w:styleId="1182">
    <w:name w:val="正文文本"/>
    <w:basedOn w:val="1011"/>
    <w:next w:val="1182"/>
    <w:link w:val="1011"/>
    <w:semiHidden/>
    <w:qFormat/>
    <w:rPr>
      <w:rFonts w:eastAsia="Arial"/>
    </w:rPr>
  </w:style>
  <w:style w:type="paragraph" w:styleId="1183">
    <w:name w:val="正文文本缩进"/>
    <w:basedOn w:val="1011"/>
    <w:next w:val="1183"/>
    <w:link w:val="1213"/>
    <w:uiPriority w:val="99"/>
    <w:semiHidden/>
    <w:unhideWhenUsed/>
    <w:qFormat/>
    <w:pPr>
      <w:ind w:left="420"/>
      <w:spacing w:after="120"/>
    </w:pPr>
  </w:style>
  <w:style w:type="paragraph" w:styleId="1184">
    <w:name w:val="文本块"/>
    <w:basedOn w:val="1011"/>
    <w:next w:val="1184"/>
    <w:link w:val="1011"/>
    <w:uiPriority w:val="99"/>
    <w:semiHidden/>
    <w:unhideWhenUsed/>
    <w:pPr>
      <w:ind w:left="1440" w:right="1440"/>
      <w:spacing w:after="120"/>
    </w:pPr>
  </w:style>
  <w:style w:type="paragraph" w:styleId="1185">
    <w:name w:val="目录 5"/>
    <w:basedOn w:val="1011"/>
    <w:next w:val="1011"/>
    <w:link w:val="1011"/>
    <w:uiPriority w:val="39"/>
    <w:unhideWhenUsed/>
    <w:qFormat/>
    <w:pPr>
      <w:ind w:left="1134"/>
      <w:jc w:val="both"/>
      <w:spacing w:after="57"/>
      <w:widowControl w:val="off"/>
    </w:pPr>
    <w:rPr>
      <w:rFonts w:ascii="Times New Roman" w:hAnsi="Times New Roman" w:eastAsia="宋体" w:cs="Times New Roman"/>
      <w:color w:val="000000"/>
      <w:szCs w:val="24"/>
      <w:lang w:eastAsia="zh-CN"/>
    </w:rPr>
  </w:style>
  <w:style w:type="paragraph" w:styleId="1186">
    <w:name w:val="目录 3"/>
    <w:basedOn w:val="1011"/>
    <w:next w:val="1011"/>
    <w:link w:val="1011"/>
    <w:uiPriority w:val="39"/>
    <w:unhideWhenUsed/>
    <w:qFormat/>
    <w:pPr>
      <w:ind w:left="440"/>
      <w:spacing w:after="100" w:line="276" w:lineRule="auto"/>
    </w:pPr>
    <w:rPr>
      <w:rFonts w:ascii="Calibri" w:hAnsi="Calibri" w:cs="Arial"/>
      <w:color w:val="000000"/>
      <w:sz w:val="22"/>
      <w:szCs w:val="22"/>
      <w:lang w:eastAsia="zh-CN"/>
    </w:rPr>
  </w:style>
  <w:style w:type="paragraph" w:styleId="1187">
    <w:name w:val="日期"/>
    <w:basedOn w:val="1011"/>
    <w:next w:val="1011"/>
    <w:link w:val="1215"/>
    <w:qFormat/>
    <w:pPr>
      <w:jc w:val="both"/>
      <w:widowControl w:val="off"/>
    </w:pPr>
    <w:rPr>
      <w:rFonts w:ascii="Times New Roman" w:hAnsi="Times New Roman" w:eastAsia="宋体" w:cs="Times New Roman"/>
      <w:b/>
      <w:bCs/>
      <w:color w:val="000000"/>
      <w:spacing w:val="20"/>
      <w:sz w:val="20"/>
      <w:szCs w:val="24"/>
      <w:lang w:eastAsia="zh-CN"/>
    </w:rPr>
  </w:style>
  <w:style w:type="paragraph" w:styleId="1188">
    <w:name w:val="批注框文本"/>
    <w:basedOn w:val="1011"/>
    <w:next w:val="1188"/>
    <w:link w:val="1201"/>
    <w:uiPriority w:val="99"/>
    <w:semiHidden/>
    <w:unhideWhenUsed/>
    <w:qFormat/>
    <w:rPr>
      <w:sz w:val="18"/>
      <w:szCs w:val="18"/>
    </w:rPr>
  </w:style>
  <w:style w:type="paragraph" w:styleId="1189">
    <w:name w:val="Footer1"/>
    <w:basedOn w:val="1011"/>
    <w:next w:val="1189"/>
    <w:link w:val="1200"/>
    <w:uiPriority w:val="99"/>
    <w:unhideWhenUsed/>
    <w:qFormat/>
    <w:pPr>
      <w:tabs>
        <w:tab w:val="center" w:pos="4153" w:leader="none"/>
        <w:tab w:val="right" w:pos="8306" w:leader="none"/>
      </w:tabs>
    </w:pPr>
    <w:rPr>
      <w:sz w:val="18"/>
      <w:szCs w:val="18"/>
    </w:rPr>
  </w:style>
  <w:style w:type="paragraph" w:styleId="1190">
    <w:name w:val="Header1"/>
    <w:basedOn w:val="1011"/>
    <w:next w:val="1190"/>
    <w:link w:val="119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91">
    <w:name w:val="目录 1"/>
    <w:basedOn w:val="1011"/>
    <w:next w:val="1011"/>
    <w:link w:val="1011"/>
    <w:uiPriority w:val="39"/>
    <w:unhideWhenUsed/>
    <w:qFormat/>
  </w:style>
  <w:style w:type="paragraph" w:styleId="1192">
    <w:name w:val="脚注文本"/>
    <w:basedOn w:val="1011"/>
    <w:next w:val="1184"/>
    <w:link w:val="1223"/>
    <w:uiPriority w:val="99"/>
    <w:semiHidden/>
    <w:unhideWhenUsed/>
    <w:qFormat/>
    <w:pPr>
      <w:ind w:firstLine="3584"/>
      <w:jc w:val="both"/>
      <w:keepLines/>
      <w:keepNext/>
      <w:spacing w:line="360" w:lineRule="auto"/>
      <w:widowControl w:val="off"/>
      <w:outlineLvl w:val="0"/>
    </w:pPr>
    <w:rPr>
      <w:rFonts w:cs="Times New Roman"/>
      <w:color w:val="000000"/>
      <w:sz w:val="18"/>
      <w:szCs w:val="20"/>
      <w:lang w:val="en-US" w:eastAsia="en-US"/>
    </w:rPr>
  </w:style>
  <w:style w:type="paragraph" w:styleId="1193">
    <w:name w:val="正文文本缩进 3"/>
    <w:basedOn w:val="1011"/>
    <w:next w:val="1193"/>
    <w:link w:val="1214"/>
    <w:uiPriority w:val="99"/>
    <w:semiHidden/>
    <w:unhideWhenUsed/>
    <w:qFormat/>
    <w:pPr>
      <w:ind w:left="420"/>
      <w:spacing w:after="120"/>
    </w:pPr>
    <w:rPr>
      <w:sz w:val="16"/>
      <w:szCs w:val="16"/>
    </w:rPr>
  </w:style>
  <w:style w:type="paragraph" w:styleId="1194">
    <w:name w:val="目录 2"/>
    <w:basedOn w:val="1011"/>
    <w:next w:val="1011"/>
    <w:link w:val="1011"/>
    <w:uiPriority w:val="39"/>
    <w:semiHidden/>
    <w:unhideWhenUsed/>
    <w:qFormat/>
    <w:pPr>
      <w:ind w:left="220"/>
      <w:spacing w:after="100" w:line="276" w:lineRule="auto"/>
    </w:pPr>
    <w:rPr>
      <w:rFonts w:ascii="Calibri" w:hAnsi="Calibri" w:cs="Arial"/>
      <w:color w:val="000000"/>
      <w:sz w:val="22"/>
      <w:szCs w:val="22"/>
      <w:lang w:eastAsia="zh-CN"/>
    </w:rPr>
  </w:style>
  <w:style w:type="character" w:styleId="1195">
    <w:name w:val="要点"/>
    <w:next w:val="1195"/>
    <w:link w:val="1011"/>
    <w:qFormat/>
    <w:rPr>
      <w:rFonts w:ascii="Calibri" w:hAnsi="Calibri" w:eastAsia="宋体" w:cs="Times New Roman"/>
      <w:b/>
    </w:rPr>
  </w:style>
  <w:style w:type="character" w:styleId="1196">
    <w:name w:val="超链接"/>
    <w:basedOn w:val="1012"/>
    <w:next w:val="1196"/>
    <w:link w:val="1011"/>
    <w:uiPriority w:val="99"/>
    <w:unhideWhenUsed/>
    <w:rPr>
      <w:color w:val="0000ff"/>
      <w:u w:val="single"/>
    </w:rPr>
  </w:style>
  <w:style w:type="table" w:styleId="1197">
    <w:name w:val="Table Normal_0"/>
    <w:next w:val="1197"/>
    <w:link w:val="1011"/>
    <w:semiHidden/>
    <w:unhideWhenUsed/>
    <w:qFormat/>
    <w:rPr>
      <w:lang w:val="en-US" w:eastAsia="zh-CN" w:bidi="ar-SA"/>
    </w:rPr>
    <w:tblPr/>
  </w:style>
  <w:style w:type="paragraph" w:styleId="1198">
    <w:name w:val="Table Text"/>
    <w:basedOn w:val="1011"/>
    <w:next w:val="1198"/>
    <w:link w:val="1011"/>
    <w:semiHidden/>
    <w:qFormat/>
    <w:rPr>
      <w:rFonts w:ascii="宋体" w:hAnsi="宋体" w:eastAsia="宋体" w:cs="宋体"/>
    </w:rPr>
  </w:style>
  <w:style w:type="character" w:styleId="1199">
    <w:name w:val="页眉 Char"/>
    <w:basedOn w:val="1012"/>
    <w:next w:val="1199"/>
    <w:link w:val="1190"/>
    <w:uiPriority w:val="99"/>
    <w:rPr>
      <w:sz w:val="18"/>
      <w:szCs w:val="18"/>
    </w:rPr>
  </w:style>
  <w:style w:type="character" w:styleId="1200">
    <w:name w:val="页脚 Char"/>
    <w:basedOn w:val="1012"/>
    <w:next w:val="1200"/>
    <w:link w:val="1189"/>
    <w:uiPriority w:val="99"/>
    <w:rPr>
      <w:sz w:val="18"/>
      <w:szCs w:val="18"/>
    </w:rPr>
  </w:style>
  <w:style w:type="character" w:styleId="1201">
    <w:name w:val="批注框文本 Char"/>
    <w:basedOn w:val="1012"/>
    <w:next w:val="1201"/>
    <w:link w:val="1188"/>
    <w:uiPriority w:val="99"/>
    <w:semiHidden/>
    <w:rPr>
      <w:sz w:val="18"/>
      <w:szCs w:val="18"/>
    </w:rPr>
  </w:style>
  <w:style w:type="character" w:styleId="1202">
    <w:name w:val="Heading 3 Char"/>
    <w:basedOn w:val="1012"/>
    <w:next w:val="1202"/>
    <w:link w:val="1011"/>
    <w:uiPriority w:val="9"/>
    <w:qFormat/>
    <w:rPr>
      <w:rFonts w:ascii="Arial" w:hAnsi="Arial" w:eastAsia="Arial" w:cs="Arial"/>
      <w:sz w:val="30"/>
      <w:szCs w:val="30"/>
    </w:rPr>
  </w:style>
  <w:style w:type="paragraph" w:styleId="1203">
    <w:name w:val="Heading 3"/>
    <w:basedOn w:val="1011"/>
    <w:next w:val="1011"/>
    <w:link w:val="1204"/>
    <w:qFormat/>
    <w:pPr>
      <w:jc w:val="both"/>
      <w:keepLines/>
      <w:keepNext/>
      <w:spacing w:before="260" w:after="260" w:line="416" w:lineRule="auto"/>
      <w:widowControl w:val="off"/>
      <w:outlineLvl w:val="2"/>
    </w:pPr>
    <w:rPr>
      <w:rFonts w:ascii="Times New Roman" w:hAnsi="Times New Roman" w:cs="Times New Roman"/>
      <w:b/>
      <w:bCs/>
      <w:color w:val="000000"/>
      <w:sz w:val="32"/>
      <w:szCs w:val="32"/>
      <w:lang w:val="en-US"/>
    </w:rPr>
  </w:style>
  <w:style w:type="character" w:styleId="1204">
    <w:name w:val="标题 3 Char"/>
    <w:next w:val="1204"/>
    <w:link w:val="1203"/>
    <w:qFormat/>
    <w:rPr>
      <w:rFonts w:ascii="Times New Roman" w:hAnsi="Times New Roman" w:eastAsia="宋体" w:cs="Times New Roman"/>
      <w:b/>
      <w:bCs/>
      <w:color w:val="000000"/>
      <w:sz w:val="32"/>
      <w:szCs w:val="32"/>
      <w:lang w:eastAsia="zh-CN"/>
    </w:rPr>
  </w:style>
  <w:style w:type="paragraph" w:styleId="1205">
    <w:name w:val="正文文本1"/>
    <w:basedOn w:val="1011"/>
    <w:next w:val="1011"/>
    <w:link w:val="1206"/>
    <w:qFormat/>
    <w:pPr>
      <w:jc w:val="both"/>
      <w:widowControl w:val="off"/>
    </w:pPr>
    <w:rPr>
      <w:rFonts w:ascii="Times New Roman" w:hAnsi="Times New Roman" w:cs="Times New Roman"/>
      <w:color w:val="000000"/>
      <w:sz w:val="24"/>
      <w:szCs w:val="24"/>
      <w:lang w:val="en-US"/>
    </w:rPr>
  </w:style>
  <w:style w:type="character" w:styleId="1206">
    <w:name w:val="正文文本 字符"/>
    <w:next w:val="1206"/>
    <w:link w:val="1205"/>
    <w:qFormat/>
    <w:rPr>
      <w:rFonts w:ascii="Times New Roman" w:hAnsi="Times New Roman" w:eastAsia="宋体" w:cs="Times New Roman"/>
      <w:color w:val="000000"/>
      <w:sz w:val="24"/>
      <w:szCs w:val="24"/>
      <w:lang w:eastAsia="zh-CN"/>
    </w:rPr>
  </w:style>
  <w:style w:type="paragraph" w:styleId="1207">
    <w:name w:val="正文文本缩进 31"/>
    <w:basedOn w:val="1011"/>
    <w:next w:val="1207"/>
    <w:link w:val="1011"/>
    <w:qFormat/>
    <w:pPr>
      <w:ind w:firstLine="570"/>
      <w:jc w:val="both"/>
      <w:spacing w:line="520" w:lineRule="exact"/>
      <w:widowControl w:val="off"/>
    </w:pPr>
    <w:rPr>
      <w:rFonts w:ascii="宋体" w:hAnsi="宋体" w:eastAsia="宋体" w:cs="Times New Roman"/>
      <w:bCs/>
      <w:color w:val="000000"/>
      <w:sz w:val="24"/>
      <w:szCs w:val="24"/>
      <w:u w:val="single"/>
      <w:lang w:eastAsia="zh-CN"/>
    </w:rPr>
  </w:style>
  <w:style w:type="paragraph" w:styleId="1208">
    <w:name w:val="+正文"/>
    <w:basedOn w:val="1011"/>
    <w:next w:val="1208"/>
    <w:link w:val="1011"/>
    <w:qFormat/>
    <w:pPr>
      <w:ind w:firstLine="200"/>
      <w:jc w:val="both"/>
      <w:spacing w:line="360" w:lineRule="auto"/>
      <w:widowControl w:val="off"/>
    </w:pPr>
    <w:rPr>
      <w:rFonts w:ascii="Times New Roman" w:hAnsi="Times New Roman" w:eastAsia="宋体" w:cs="Times New Roman"/>
      <w:color w:val="000000"/>
      <w:sz w:val="24"/>
      <w:szCs w:val="28"/>
      <w:lang w:eastAsia="zh-CN"/>
    </w:rPr>
  </w:style>
  <w:style w:type="paragraph" w:styleId="1209">
    <w:name w:val="段"/>
    <w:next w:val="1011"/>
    <w:link w:val="1011"/>
    <w:qFormat/>
    <w:pPr>
      <w:ind w:firstLine="200"/>
      <w:jc w:val="both"/>
    </w:pPr>
    <w:rPr>
      <w:rFonts w:ascii="宋体" w:hAnsi="Times New Roman" w:cs="Times New Roman"/>
      <w:sz w:val="21"/>
      <w:lang w:val="en-US" w:eastAsia="zh-CN" w:bidi="ar-SA"/>
    </w:rPr>
  </w:style>
  <w:style w:type="paragraph" w:styleId="1210">
    <w:name w:val="标题 31"/>
    <w:basedOn w:val="1011"/>
    <w:next w:val="1011"/>
    <w:link w:val="1011"/>
    <w:hidden/>
    <w:qFormat/>
    <w:pPr>
      <w:jc w:val="both"/>
      <w:keepLines/>
      <w:keepNext/>
      <w:spacing w:before="260" w:after="260" w:line="415" w:lineRule="auto"/>
      <w:widowControl w:val="off"/>
      <w:outlineLvl w:val="2"/>
    </w:pPr>
    <w:rPr>
      <w:rFonts w:ascii="Times New Roman" w:hAnsi="Times New Roman" w:eastAsia="宋体" w:cs="Times New Roman"/>
      <w:b/>
      <w:color w:val="000000"/>
      <w:sz w:val="32"/>
      <w:szCs w:val="32"/>
      <w:lang w:eastAsia="zh-CN"/>
    </w:rPr>
  </w:style>
  <w:style w:type="character" w:styleId="1211">
    <w:name w:val="正文缩进 Char"/>
    <w:next w:val="1211"/>
    <w:link w:val="1181"/>
    <w:qFormat/>
    <w:rPr>
      <w:rFonts w:ascii="Times New Roman" w:hAnsi="Times New Roman" w:eastAsia="KaiTi_GB2312" w:cs="Times New Roman"/>
      <w:color w:val="000000"/>
      <w:sz w:val="24"/>
      <w:szCs w:val="20"/>
      <w:lang w:eastAsia="zh-CN"/>
    </w:rPr>
  </w:style>
  <w:style w:type="paragraph" w:styleId="1212">
    <w:name w:val="列出段落"/>
    <w:basedOn w:val="1011"/>
    <w:next w:val="1212"/>
    <w:link w:val="1011"/>
    <w:uiPriority w:val="34"/>
    <w:qFormat/>
    <w:pPr>
      <w:ind w:firstLine="420"/>
    </w:pPr>
  </w:style>
  <w:style w:type="character" w:styleId="1213">
    <w:name w:val="正文文本缩进 Char"/>
    <w:basedOn w:val="1012"/>
    <w:next w:val="1213"/>
    <w:link w:val="1183"/>
    <w:uiPriority w:val="99"/>
    <w:semiHidden/>
  </w:style>
  <w:style w:type="character" w:styleId="1214">
    <w:name w:val="正文文本缩进 3 Char"/>
    <w:basedOn w:val="1012"/>
    <w:next w:val="1214"/>
    <w:link w:val="1193"/>
    <w:uiPriority w:val="99"/>
    <w:semiHidden/>
    <w:qFormat/>
    <w:rPr>
      <w:sz w:val="16"/>
      <w:szCs w:val="16"/>
    </w:rPr>
  </w:style>
  <w:style w:type="character" w:styleId="1215">
    <w:name w:val="日期 Char"/>
    <w:basedOn w:val="1012"/>
    <w:next w:val="1215"/>
    <w:link w:val="1187"/>
    <w:qFormat/>
    <w:rPr>
      <w:rFonts w:ascii="Times New Roman" w:hAnsi="Times New Roman" w:eastAsia="宋体" w:cs="Times New Roman"/>
      <w:b/>
      <w:bCs/>
      <w:color w:val="000000"/>
      <w:spacing w:val="20"/>
      <w:sz w:val="20"/>
      <w:szCs w:val="24"/>
      <w:lang w:eastAsia="zh-CN"/>
    </w:rPr>
  </w:style>
  <w:style w:type="paragraph" w:styleId="1216">
    <w:name w:val="首行缩进"/>
    <w:basedOn w:val="1011"/>
    <w:next w:val="1216"/>
    <w:link w:val="1011"/>
    <w:uiPriority w:val="99"/>
    <w:qFormat/>
    <w:pPr>
      <w:ind w:firstLine="480"/>
      <w:jc w:val="both"/>
      <w:widowControl w:val="off"/>
    </w:pPr>
    <w:rPr>
      <w:rFonts w:ascii="Times New Roman" w:hAnsi="Times New Roman" w:eastAsia="宋体" w:cs="Times New Roman"/>
      <w:color w:val="000000"/>
      <w:szCs w:val="20"/>
      <w:lang w:val="zh-CN" w:eastAsia="zh-CN"/>
    </w:rPr>
  </w:style>
  <w:style w:type="character" w:styleId="1217">
    <w:name w:val="NormalCharacter1"/>
    <w:next w:val="1217"/>
    <w:link w:val="1011"/>
    <w:semiHidden/>
    <w:qFormat/>
    <w:rPr>
      <w:rFonts w:ascii="Times New Roman" w:hAnsi="Times New Roman" w:eastAsia="宋体" w:cs="Times New Roman"/>
    </w:rPr>
  </w:style>
  <w:style w:type="character" w:styleId="1218">
    <w:name w:val="标题 1 Char"/>
    <w:basedOn w:val="1012"/>
    <w:next w:val="1218"/>
    <w:link w:val="1180"/>
    <w:uiPriority w:val="9"/>
    <w:rPr>
      <w:b/>
      <w:bCs/>
      <w:color w:val="000000"/>
      <w:sz w:val="44"/>
      <w:szCs w:val="44"/>
      <w:lang w:eastAsia="en-US"/>
    </w:rPr>
  </w:style>
  <w:style w:type="paragraph" w:styleId="1219">
    <w:name w:val="TOC Heading"/>
    <w:basedOn w:val="1180"/>
    <w:next w:val="1011"/>
    <w:link w:val="1011"/>
    <w:uiPriority w:val="39"/>
    <w:semiHidden/>
    <w:unhideWhenUsed/>
    <w:qFormat/>
    <w:pPr>
      <w:spacing w:before="480" w:after="0" w:line="276" w:lineRule="auto"/>
      <w:outlineLvl w:val="9"/>
    </w:pPr>
    <w:rPr>
      <w:rFonts w:ascii="Cambria" w:hAnsi="Cambria" w:eastAsia="Arial" w:cs="Arial"/>
      <w:color w:val="366091"/>
      <w:sz w:val="28"/>
      <w:szCs w:val="28"/>
      <w:lang w:eastAsia="zh-CN"/>
    </w:rPr>
  </w:style>
  <w:style w:type="character" w:styleId="1220">
    <w:name w:val="脚注文本 Char"/>
    <w:basedOn w:val="1012"/>
    <w:next w:val="1220"/>
    <w:link w:val="1192"/>
    <w:uiPriority w:val="99"/>
    <w:semiHidden/>
    <w:rPr>
      <w:color w:val="000000"/>
      <w:sz w:val="18"/>
      <w:szCs w:val="18"/>
      <w:lang w:eastAsia="en-US"/>
    </w:rPr>
  </w:style>
  <w:style w:type="character" w:styleId="1221">
    <w:name w:val="Plain Text Char Char"/>
    <w:next w:val="1221"/>
    <w:link w:val="1222"/>
    <w:qFormat/>
    <w:rPr>
      <w:rFonts w:ascii="宋体" w:hAnsi="Courier New" w:eastAsia="KaiTi_GB2312"/>
      <w:sz w:val="28"/>
    </w:rPr>
  </w:style>
  <w:style w:type="paragraph" w:styleId="1222">
    <w:name w:val="纯文本1"/>
    <w:basedOn w:val="1011"/>
    <w:next w:val="1222"/>
    <w:link w:val="1221"/>
    <w:qFormat/>
    <w:pPr>
      <w:jc w:val="both"/>
      <w:widowControl w:val="off"/>
    </w:pPr>
    <w:rPr>
      <w:rFonts w:ascii="宋体" w:hAnsi="Courier New" w:eastAsia="KaiTi_GB2312" w:cs="Times New Roman"/>
      <w:color w:val="000000"/>
      <w:sz w:val="28"/>
      <w:szCs w:val="20"/>
      <w:lang w:val="en-US" w:eastAsia="en-US"/>
    </w:rPr>
  </w:style>
  <w:style w:type="character" w:styleId="1223">
    <w:name w:val="脚注文本 Char1"/>
    <w:basedOn w:val="1012"/>
    <w:next w:val="1223"/>
    <w:link w:val="1192"/>
    <w:uiPriority w:val="99"/>
    <w:semiHidden/>
    <w:rPr>
      <w:rFonts w:ascii="Times New Roman" w:hAnsi="Times New Roman" w:eastAsia="宋体" w:cs="Times New Roman"/>
      <w:sz w:val="18"/>
    </w:rPr>
  </w:style>
  <w:style w:type="paragraph" w:styleId="1224">
    <w:name w:val="段落正文"/>
    <w:basedOn w:val="1011"/>
    <w:next w:val="1224"/>
    <w:link w:val="1011"/>
    <w:qFormat/>
    <w:pPr>
      <w:ind w:firstLine="880"/>
      <w:jc w:val="both"/>
      <w:spacing w:line="360" w:lineRule="auto"/>
      <w:widowControl w:val="off"/>
    </w:pPr>
    <w:rPr>
      <w:rFonts w:ascii="Times New Roman" w:hAnsi="Times New Roman" w:eastAsia="宋体" w:cs="Times New Roman"/>
      <w:color w:val="000000"/>
      <w:lang w:eastAsia="zh-CN"/>
    </w:rPr>
  </w:style>
  <w:style w:type="character" w:styleId="1225">
    <w:name w:val="超链接1"/>
    <w:next w:val="1225"/>
    <w:link w:val="1011"/>
    <w:qFormat/>
    <w:rPr>
      <w:color w:val="000000"/>
      <w:szCs w:val="24"/>
      <w:u w:val="none"/>
    </w:rPr>
  </w:style>
  <w:style w:type="character" w:styleId="1226">
    <w:name w:val="标题 3 Char1"/>
    <w:next w:val="1226"/>
    <w:link w:val="1011"/>
    <w:uiPriority w:val="9"/>
    <w:qFormat/>
    <w:rPr>
      <w:rFonts w:ascii="Arial" w:hAnsi="Arial" w:eastAsia="Arial" w:cs="Arial"/>
      <w:sz w:val="30"/>
      <w:szCs w:val="30"/>
    </w:rPr>
  </w:style>
  <w:style w:type="paragraph" w:styleId="1227">
    <w:name w:val="页眉"/>
    <w:basedOn w:val="1011"/>
    <w:next w:val="1227"/>
    <w:link w:val="1228"/>
    <w:uiPriority w:val="99"/>
    <w:semiHidden/>
    <w:unhideWhenUsed/>
    <w:pPr>
      <w:jc w:val="center"/>
      <w:tabs>
        <w:tab w:val="center" w:pos="4153" w:leader="none"/>
        <w:tab w:val="right" w:pos="8306" w:leader="none"/>
      </w:tabs>
      <w:pBdr>
        <w:bottom w:val="single" w:color="000000" w:sz="6" w:space="1"/>
      </w:pBdr>
    </w:pPr>
    <w:rPr>
      <w:sz w:val="18"/>
      <w:szCs w:val="18"/>
    </w:rPr>
  </w:style>
  <w:style w:type="character" w:styleId="1228">
    <w:name w:val="页眉 Char1"/>
    <w:basedOn w:val="1012"/>
    <w:next w:val="1228"/>
    <w:link w:val="1227"/>
    <w:uiPriority w:val="99"/>
    <w:semiHidden/>
    <w:rPr>
      <w:color w:val="000000"/>
      <w:sz w:val="18"/>
      <w:szCs w:val="18"/>
    </w:rPr>
  </w:style>
  <w:style w:type="paragraph" w:styleId="1229">
    <w:name w:val="页脚"/>
    <w:basedOn w:val="1011"/>
    <w:next w:val="1229"/>
    <w:link w:val="1230"/>
    <w:uiPriority w:val="99"/>
    <w:semiHidden/>
    <w:unhideWhenUsed/>
    <w:pPr>
      <w:tabs>
        <w:tab w:val="center" w:pos="4153" w:leader="none"/>
        <w:tab w:val="right" w:pos="8306" w:leader="none"/>
      </w:tabs>
    </w:pPr>
    <w:rPr>
      <w:sz w:val="18"/>
      <w:szCs w:val="18"/>
    </w:rPr>
  </w:style>
  <w:style w:type="character" w:styleId="1230">
    <w:name w:val="页脚 Char1"/>
    <w:basedOn w:val="1012"/>
    <w:next w:val="1230"/>
    <w:link w:val="1229"/>
    <w:uiPriority w:val="99"/>
    <w:semiHidden/>
    <w:rPr>
      <w:color w:val="000000"/>
      <w:sz w:val="18"/>
      <w:szCs w:val="18"/>
    </w:rPr>
  </w:style>
  <w:style w:type="character" w:styleId="1231" w:default="1">
    <w:name w:val="Default Paragraph Font"/>
    <w:uiPriority w:val="1"/>
    <w:semiHidden/>
    <w:unhideWhenUsed/>
  </w:style>
  <w:style w:type="numbering" w:styleId="1232" w:default="1">
    <w:name w:val="No List"/>
    <w:uiPriority w:val="99"/>
    <w:semiHidden/>
    <w:unhideWhenUsed/>
  </w:style>
  <w:style w:type="table" w:styleId="12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header" Target="header7.xml" /><Relationship Id="rId15" Type="http://schemas.openxmlformats.org/officeDocument/2006/relationships/header" Target="header8.xml" /><Relationship Id="rId16" Type="http://schemas.openxmlformats.org/officeDocument/2006/relationships/header" Target="header9.xml" /><Relationship Id="rId17" Type="http://schemas.openxmlformats.org/officeDocument/2006/relationships/header" Target="header10.xml" /><Relationship Id="rId18" Type="http://schemas.openxmlformats.org/officeDocument/2006/relationships/header" Target="header11.xml" /><Relationship Id="rId19" Type="http://schemas.openxmlformats.org/officeDocument/2006/relationships/header" Target="header12.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header" Target="header15.xml" /><Relationship Id="rId23" Type="http://schemas.openxmlformats.org/officeDocument/2006/relationships/header" Target="header16.xml" /><Relationship Id="rId24" Type="http://schemas.openxmlformats.org/officeDocument/2006/relationships/header" Target="header17.xml" /><Relationship Id="rId25" Type="http://schemas.openxmlformats.org/officeDocument/2006/relationships/header" Target="header18.xml" /><Relationship Id="rId26" Type="http://schemas.openxmlformats.org/officeDocument/2006/relationships/header" Target="header19.xml" /><Relationship Id="rId27" Type="http://schemas.openxmlformats.org/officeDocument/2006/relationships/footer" Target="footer1.xml" /><Relationship Id="rId28" Type="http://schemas.openxmlformats.org/officeDocument/2006/relationships/footer" Target="footer2.xml" /><Relationship Id="rId29" Type="http://schemas.openxmlformats.org/officeDocument/2006/relationships/footer" Target="footer3.xml" /><Relationship Id="rId30" Type="http://schemas.openxmlformats.org/officeDocument/2006/relationships/footer" Target="footer4.xml" /><Relationship Id="rId31" Type="http://schemas.openxmlformats.org/officeDocument/2006/relationships/footer" Target="footer5.xml" /><Relationship Id="rId3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2041560" TargetMode="External"/><Relationship Id="rId3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2041561" TargetMode="External"/><Relationship Id="rId3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2041562" TargetMode="External"/><Relationship Id="rId3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2041563" TargetMode="External"/><Relationship Id="rId3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2041564" TargetMode="External"/><Relationship Id="rId3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2041565" TargetMode="External"/><Relationship Id="rId38" Type="http://schemas.openxmlformats.org/officeDocument/2006/relationships/image" Target="media/image1.emf"/><Relationship Id="rId39"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_rels/header1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黄彬</cp:lastModifiedBy>
  <cp:revision>5</cp:revision>
  <dcterms:created xsi:type="dcterms:W3CDTF">2025-11-05T07:50:00Z</dcterms:created>
  <dcterms:modified xsi:type="dcterms:W3CDTF">2025-12-02T11:06:37Z</dcterms:modified>
  <cp:version>786432</cp:version>
</cp:coreProperties>
</file>